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888B" w14:textId="77777777" w:rsidR="00777C95" w:rsidRDefault="00C01ADE">
      <w:pPr>
        <w:pStyle w:val="Normal1"/>
        <w:pBdr>
          <w:top w:val="nil"/>
          <w:left w:val="nil"/>
          <w:bottom w:val="nil"/>
          <w:right w:val="nil"/>
          <w:between w:val="nil"/>
        </w:pBdr>
        <w:jc w:val="center"/>
        <w:rPr>
          <w:b/>
          <w:sz w:val="28"/>
          <w:szCs w:val="28"/>
        </w:rPr>
      </w:pPr>
      <w:bookmarkStart w:id="0" w:name="_GoBack"/>
      <w:bookmarkEnd w:id="0"/>
      <w:r>
        <w:rPr>
          <w:b/>
          <w:sz w:val="28"/>
          <w:szCs w:val="28"/>
        </w:rPr>
        <w:t>Assistant Professor HR/OB</w:t>
      </w:r>
    </w:p>
    <w:p w14:paraId="37461330" w14:textId="77777777" w:rsidR="00777C95" w:rsidRDefault="00C01ADE">
      <w:pPr>
        <w:pStyle w:val="Normal1"/>
        <w:pBdr>
          <w:top w:val="nil"/>
          <w:left w:val="nil"/>
          <w:bottom w:val="nil"/>
          <w:right w:val="nil"/>
          <w:between w:val="nil"/>
        </w:pBdr>
        <w:jc w:val="both"/>
        <w:rPr>
          <w:color w:val="500050"/>
          <w:highlight w:val="white"/>
        </w:rPr>
      </w:pPr>
      <w:r>
        <w:rPr>
          <w:color w:val="500050"/>
          <w:highlight w:val="white"/>
        </w:rPr>
        <w:t xml:space="preserve"> </w:t>
      </w:r>
    </w:p>
    <w:p w14:paraId="165AF859" w14:textId="77777777" w:rsidR="00777C95" w:rsidRDefault="00C01ADE">
      <w:pPr>
        <w:pStyle w:val="Normal1"/>
        <w:pBdr>
          <w:top w:val="nil"/>
          <w:left w:val="nil"/>
          <w:bottom w:val="nil"/>
          <w:right w:val="nil"/>
          <w:between w:val="nil"/>
        </w:pBdr>
        <w:spacing w:line="240" w:lineRule="auto"/>
        <w:jc w:val="both"/>
        <w:rPr>
          <w:b/>
        </w:rPr>
      </w:pPr>
      <w:r>
        <w:rPr>
          <w:b/>
        </w:rPr>
        <w:t xml:space="preserve">The Opportunity </w:t>
      </w:r>
    </w:p>
    <w:p w14:paraId="3AF634FD" w14:textId="1818FFFD" w:rsidR="00777C95" w:rsidRDefault="00C01ADE">
      <w:pPr>
        <w:pStyle w:val="Normal1"/>
        <w:pBdr>
          <w:top w:val="nil"/>
          <w:left w:val="nil"/>
          <w:bottom w:val="nil"/>
          <w:right w:val="nil"/>
          <w:between w:val="nil"/>
        </w:pBdr>
        <w:spacing w:line="240" w:lineRule="auto"/>
        <w:jc w:val="both"/>
      </w:pPr>
      <w:r>
        <w:rPr>
          <w:highlight w:val="white"/>
        </w:rPr>
        <w:t>Ted Rogers School of Management at Ryerson University (TRSM) is developing collaborative, creative leaders who will drive 21st century business forward while making a positive impa</w:t>
      </w:r>
      <w:r w:rsidR="00274848">
        <w:rPr>
          <w:highlight w:val="white"/>
        </w:rPr>
        <w:t>ct on society. Home to</w:t>
      </w:r>
      <w:r w:rsidR="009A2169">
        <w:rPr>
          <w:highlight w:val="white"/>
        </w:rPr>
        <w:t xml:space="preserve"> 11</w:t>
      </w:r>
      <w:r>
        <w:rPr>
          <w:highlight w:val="white"/>
        </w:rPr>
        <w:t>,000</w:t>
      </w:r>
      <w:r w:rsidR="00274848">
        <w:rPr>
          <w:highlight w:val="white"/>
        </w:rPr>
        <w:t>+</w:t>
      </w:r>
      <w:r>
        <w:rPr>
          <w:highlight w:val="white"/>
        </w:rPr>
        <w:t xml:space="preserve"> students and more than 250 industry-connected faculty, TRSM is Canada's leading diverse, entrepreneurial business school centred in an urban learning environment. TRSM offers 12 Bachelor of Commerce degrees, two Bachelor of Health Administration degrees, the Ted Rogers MBA, Professional Masters Diplomas, Executive Education courses, and a Masters of Science in Management. TRSM is also home to 15 innovative research centres, institutes and labs.  </w:t>
      </w:r>
      <w:hyperlink r:id="rId5">
        <w:r>
          <w:rPr>
            <w:color w:val="0000FF"/>
            <w:highlight w:val="white"/>
            <w:u w:val="single"/>
          </w:rPr>
          <w:t>www.ryerson.ca/tedrogersschool</w:t>
        </w:r>
      </w:hyperlink>
    </w:p>
    <w:p w14:paraId="125BB2C4" w14:textId="77777777" w:rsidR="00777C95" w:rsidRDefault="00777C95">
      <w:pPr>
        <w:pStyle w:val="Normal1"/>
        <w:pBdr>
          <w:top w:val="nil"/>
          <w:left w:val="nil"/>
          <w:bottom w:val="nil"/>
          <w:right w:val="nil"/>
          <w:between w:val="nil"/>
        </w:pBdr>
        <w:spacing w:line="240" w:lineRule="auto"/>
        <w:jc w:val="both"/>
      </w:pPr>
    </w:p>
    <w:p w14:paraId="62E5CF69" w14:textId="77777777" w:rsidR="00777C95" w:rsidRDefault="00C01ADE">
      <w:pPr>
        <w:pStyle w:val="Normal1"/>
        <w:shd w:val="clear" w:color="auto" w:fill="FFFFFF"/>
        <w:spacing w:before="100" w:after="150" w:line="240" w:lineRule="auto"/>
        <w:jc w:val="both"/>
      </w:pPr>
      <w:r>
        <w:t xml:space="preserve">The Human Resources Management / Organizational Behaviour Department at the Ted Rogers School of Management, Ryerson University, in Toronto invites applications for a full-time, tenure-track appointment at the rank of Assistant Professor, beginning July 1, 2019, subject to final budgetary approval. </w:t>
      </w:r>
    </w:p>
    <w:p w14:paraId="2552D08E" w14:textId="77777777" w:rsidR="00777C95" w:rsidRDefault="00777C95">
      <w:pPr>
        <w:pStyle w:val="Normal1"/>
        <w:pBdr>
          <w:top w:val="nil"/>
          <w:left w:val="nil"/>
          <w:bottom w:val="nil"/>
          <w:right w:val="nil"/>
          <w:between w:val="nil"/>
        </w:pBdr>
        <w:spacing w:line="240" w:lineRule="auto"/>
        <w:jc w:val="both"/>
      </w:pPr>
    </w:p>
    <w:p w14:paraId="75179027" w14:textId="77777777" w:rsidR="00777C95" w:rsidRDefault="00C01ADE">
      <w:pPr>
        <w:pStyle w:val="Normal1"/>
        <w:pBdr>
          <w:top w:val="nil"/>
          <w:left w:val="nil"/>
          <w:bottom w:val="nil"/>
          <w:right w:val="nil"/>
          <w:between w:val="nil"/>
        </w:pBdr>
        <w:spacing w:line="240" w:lineRule="auto"/>
        <w:jc w:val="both"/>
        <w:rPr>
          <w:b/>
        </w:rPr>
      </w:pPr>
      <w:r>
        <w:rPr>
          <w:b/>
        </w:rPr>
        <w:t xml:space="preserve">Responsibilities </w:t>
      </w:r>
    </w:p>
    <w:p w14:paraId="24022DB1" w14:textId="77777777" w:rsidR="00777C95" w:rsidRDefault="00C01ADE">
      <w:pPr>
        <w:pStyle w:val="Normal1"/>
        <w:pBdr>
          <w:top w:val="nil"/>
          <w:left w:val="nil"/>
          <w:bottom w:val="nil"/>
          <w:right w:val="nil"/>
          <w:between w:val="nil"/>
        </w:pBdr>
        <w:spacing w:line="240" w:lineRule="auto"/>
        <w:jc w:val="both"/>
      </w:pPr>
      <w:r>
        <w:rPr>
          <w:highlight w:val="white"/>
        </w:rPr>
        <w:t>Responsibilities will include teaching and supervision at undergraduate and graduate levels. The new faculty member is expected to establish and maintain a strong, independent research agenda and contribute to the research culture of the department. The successful candidate is expected to participate in service/committees related to the ongoing operations of the school.</w:t>
      </w:r>
    </w:p>
    <w:p w14:paraId="029FAD28" w14:textId="77777777" w:rsidR="00777C95" w:rsidRDefault="00777C95">
      <w:pPr>
        <w:pStyle w:val="Normal1"/>
        <w:pBdr>
          <w:top w:val="nil"/>
          <w:left w:val="nil"/>
          <w:bottom w:val="nil"/>
          <w:right w:val="nil"/>
          <w:between w:val="nil"/>
        </w:pBdr>
        <w:spacing w:line="240" w:lineRule="auto"/>
        <w:jc w:val="both"/>
        <w:rPr>
          <w:b/>
        </w:rPr>
      </w:pPr>
    </w:p>
    <w:p w14:paraId="42C28071" w14:textId="77777777" w:rsidR="00777C95" w:rsidRDefault="00C01ADE">
      <w:pPr>
        <w:pStyle w:val="Normal1"/>
        <w:pBdr>
          <w:top w:val="nil"/>
          <w:left w:val="nil"/>
          <w:bottom w:val="nil"/>
          <w:right w:val="nil"/>
          <w:between w:val="nil"/>
        </w:pBdr>
        <w:spacing w:line="240" w:lineRule="auto"/>
        <w:jc w:val="both"/>
        <w:rPr>
          <w:b/>
        </w:rPr>
      </w:pPr>
      <w:r>
        <w:rPr>
          <w:b/>
        </w:rPr>
        <w:t>Qualifications</w:t>
      </w:r>
    </w:p>
    <w:p w14:paraId="3AC64FA3" w14:textId="45699F18" w:rsidR="00777C95" w:rsidRDefault="00C01ADE">
      <w:pPr>
        <w:pStyle w:val="Normal1"/>
        <w:pBdr>
          <w:top w:val="nil"/>
          <w:left w:val="nil"/>
          <w:bottom w:val="nil"/>
          <w:right w:val="nil"/>
          <w:between w:val="nil"/>
        </w:pBdr>
        <w:spacing w:line="240" w:lineRule="auto"/>
        <w:jc w:val="both"/>
      </w:pPr>
      <w:r>
        <w:t>Applicants will possess or be near completion (with a defense date set) of a PhD in Organizational Behaviour, Human Resources,</w:t>
      </w:r>
      <w:r w:rsidR="00DE49BE">
        <w:t xml:space="preserve"> </w:t>
      </w:r>
      <w:r>
        <w:t>or a closely related field. The successful candidate will demonstrate the ability to contribute to both our AACSB-accredited undergraduate (BComm) and graduate (MBA/MScM) programs. Candidates should demonstrate research potential (e.g., evidence of an emerging scholarly record, ability to establish and maintain an independent, externally funded research program), evidence of high-quality teaching and a capacity for collaboration and collegial service. Candidates must have a demonstrated commitment to upholding the values of equity, diversity, and inclusion as it pertains to service, teaching, and scholarly research activities.</w:t>
      </w:r>
    </w:p>
    <w:p w14:paraId="64E9EFDD" w14:textId="77777777" w:rsidR="00777C95" w:rsidRDefault="00777C95">
      <w:pPr>
        <w:pStyle w:val="Normal1"/>
        <w:widowControl w:val="0"/>
        <w:spacing w:line="240" w:lineRule="auto"/>
        <w:jc w:val="both"/>
      </w:pPr>
    </w:p>
    <w:p w14:paraId="7DA3CE58" w14:textId="77777777" w:rsidR="00777C95" w:rsidRDefault="00C01ADE">
      <w:pPr>
        <w:pStyle w:val="Normal1"/>
        <w:spacing w:line="240" w:lineRule="auto"/>
        <w:jc w:val="both"/>
        <w:rPr>
          <w:b/>
          <w:highlight w:val="white"/>
        </w:rPr>
      </w:pPr>
      <w:r>
        <w:rPr>
          <w:b/>
          <w:highlight w:val="white"/>
        </w:rPr>
        <w:t xml:space="preserve">Equity at Ryerson University </w:t>
      </w:r>
    </w:p>
    <w:p w14:paraId="102FF6BD" w14:textId="77777777" w:rsidR="00777C95" w:rsidRDefault="00C01ADE">
      <w:pPr>
        <w:pStyle w:val="Normal1"/>
        <w:spacing w:line="240" w:lineRule="auto"/>
        <w:jc w:val="both"/>
        <w:rPr>
          <w:i/>
          <w:highlight w:val="white"/>
        </w:rPr>
      </w:pPr>
      <w:r>
        <w:rPr>
          <w:highlight w:val="white"/>
        </w:rPr>
        <w:t xml:space="preserve">At the intersection of mind and action, Ryerson is on a transformative path to become Canada’s leading comprehensive innovation university. Integral to this path is the placement of equity, diversity and inclusion as fundamental to our institutional culture. Our current </w:t>
      </w:r>
      <w:hyperlink r:id="rId6">
        <w:r>
          <w:rPr>
            <w:highlight w:val="white"/>
            <w:u w:val="single"/>
          </w:rPr>
          <w:t>academic plan</w:t>
        </w:r>
      </w:hyperlink>
      <w:r>
        <w:rPr>
          <w:highlight w:val="white"/>
        </w:rPr>
        <w:t xml:space="preserve"> outlines each as core values and we work to embed them in all that we do.</w:t>
      </w:r>
    </w:p>
    <w:p w14:paraId="1B197260" w14:textId="77777777" w:rsidR="00777C95" w:rsidRDefault="00777C95">
      <w:pPr>
        <w:pStyle w:val="Normal1"/>
        <w:spacing w:line="240" w:lineRule="auto"/>
        <w:jc w:val="both"/>
        <w:rPr>
          <w:i/>
          <w:highlight w:val="white"/>
        </w:rPr>
      </w:pPr>
    </w:p>
    <w:p w14:paraId="3A458BD1" w14:textId="77777777" w:rsidR="00777C95" w:rsidRDefault="00C01ADE">
      <w:pPr>
        <w:pStyle w:val="Normal1"/>
        <w:spacing w:line="240" w:lineRule="auto"/>
        <w:jc w:val="both"/>
      </w:pPr>
      <w:r>
        <w:rPr>
          <w:highlight w:val="white"/>
        </w:rPr>
        <w:t>Ryerson University welcomes those who have demonstrated a commitment to upholding the values of equity, diversity, and inclusion and will assist us to expand our capacity for diversity in the broadest sense. In addition, to correct the conditions of disadvantage in employment in Canada, we encourage applications from members of groups that have been historically disadvantaged and marginalized, including First Nations, Metis and Inuit peoples, Indigenous peoples of North America, racialized persons, persons with disabilities, and those who identify as women and/or 2SLGBTQ+. Please note that all qualified candidates are encouraged to apply; however, applications from Canadians and permanent residents will be given priority.</w:t>
      </w:r>
    </w:p>
    <w:p w14:paraId="19119A95" w14:textId="77777777" w:rsidR="00777C95" w:rsidRDefault="00777C95">
      <w:pPr>
        <w:pStyle w:val="Normal1"/>
        <w:spacing w:line="240" w:lineRule="auto"/>
        <w:jc w:val="both"/>
        <w:rPr>
          <w:highlight w:val="white"/>
        </w:rPr>
      </w:pPr>
    </w:p>
    <w:p w14:paraId="53640ECF" w14:textId="77777777" w:rsidR="00777C95" w:rsidRDefault="00C01ADE">
      <w:pPr>
        <w:pStyle w:val="Normal1"/>
        <w:spacing w:line="240" w:lineRule="auto"/>
        <w:jc w:val="both"/>
      </w:pPr>
      <w:r>
        <w:rPr>
          <w:highlight w:val="white"/>
        </w:rPr>
        <w:lastRenderedPageBreak/>
        <w:t xml:space="preserve">As an employer, we are working towards a people first culture and are proud to have been selected as one of Canada’s Best Diversity Employers and a Greater Toronto’s Top Employer for both 2015 and 2016. To learn more about our work environment, colleagues, leaders, students and innovative educational environment, visit </w:t>
      </w:r>
      <w:hyperlink r:id="rId7">
        <w:r>
          <w:rPr>
            <w:highlight w:val="white"/>
            <w:u w:val="single"/>
          </w:rPr>
          <w:t>www.ryerson.ca</w:t>
        </w:r>
      </w:hyperlink>
      <w:r>
        <w:rPr>
          <w:highlight w:val="white"/>
        </w:rPr>
        <w:t xml:space="preserve">, check out </w:t>
      </w:r>
      <w:hyperlink r:id="rId8">
        <w:r>
          <w:rPr>
            <w:highlight w:val="white"/>
            <w:u w:val="single"/>
          </w:rPr>
          <w:t>@RyersonU</w:t>
        </w:r>
      </w:hyperlink>
      <w:r>
        <w:rPr>
          <w:highlight w:val="white"/>
        </w:rPr>
        <w:t xml:space="preserve">, </w:t>
      </w:r>
      <w:hyperlink r:id="rId9">
        <w:r>
          <w:rPr>
            <w:highlight w:val="white"/>
            <w:u w:val="single"/>
          </w:rPr>
          <w:t>@RyersonHR</w:t>
        </w:r>
      </w:hyperlink>
      <w:r>
        <w:rPr>
          <w:highlight w:val="white"/>
        </w:rPr>
        <w:t xml:space="preserve"> and </w:t>
      </w:r>
      <w:hyperlink r:id="rId10">
        <w:r>
          <w:rPr>
            <w:highlight w:val="white"/>
            <w:u w:val="single"/>
          </w:rPr>
          <w:t>@RyersonEDI</w:t>
        </w:r>
      </w:hyperlink>
      <w:r>
        <w:rPr>
          <w:highlight w:val="white"/>
        </w:rPr>
        <w:t xml:space="preserve"> on Twitter, and visit our </w:t>
      </w:r>
      <w:hyperlink r:id="rId11">
        <w:r>
          <w:rPr>
            <w:highlight w:val="white"/>
            <w:u w:val="single"/>
          </w:rPr>
          <w:t>LinkedIn company page</w:t>
        </w:r>
      </w:hyperlink>
      <w:r>
        <w:rPr>
          <w:highlight w:val="white"/>
        </w:rPr>
        <w:t>.</w:t>
      </w:r>
    </w:p>
    <w:p w14:paraId="4098FC62" w14:textId="77777777" w:rsidR="00777C95" w:rsidRDefault="00C01ADE">
      <w:pPr>
        <w:pStyle w:val="Normal1"/>
        <w:pBdr>
          <w:top w:val="nil"/>
          <w:left w:val="nil"/>
          <w:bottom w:val="nil"/>
          <w:right w:val="nil"/>
          <w:between w:val="nil"/>
        </w:pBdr>
        <w:spacing w:line="240" w:lineRule="auto"/>
        <w:jc w:val="both"/>
        <w:rPr>
          <w:u w:val="single"/>
        </w:rPr>
      </w:pPr>
      <w:r>
        <w:rPr>
          <w:u w:val="single"/>
        </w:rPr>
        <w:t xml:space="preserve"> </w:t>
      </w:r>
    </w:p>
    <w:p w14:paraId="481705A1" w14:textId="77777777" w:rsidR="00777C95" w:rsidRDefault="00C01ADE">
      <w:pPr>
        <w:pStyle w:val="Normal1"/>
        <w:pBdr>
          <w:top w:val="nil"/>
          <w:left w:val="nil"/>
          <w:bottom w:val="nil"/>
          <w:right w:val="nil"/>
          <w:between w:val="nil"/>
        </w:pBdr>
        <w:spacing w:line="240" w:lineRule="auto"/>
        <w:jc w:val="both"/>
        <w:rPr>
          <w:b/>
        </w:rPr>
      </w:pPr>
      <w:r>
        <w:rPr>
          <w:b/>
        </w:rPr>
        <w:t>How to apply</w:t>
      </w:r>
    </w:p>
    <w:p w14:paraId="363FDD03" w14:textId="77777777" w:rsidR="00777C95" w:rsidRDefault="00C01ADE">
      <w:pPr>
        <w:pStyle w:val="Normal1"/>
        <w:pBdr>
          <w:top w:val="nil"/>
          <w:left w:val="nil"/>
          <w:bottom w:val="nil"/>
          <w:right w:val="nil"/>
          <w:between w:val="nil"/>
        </w:pBdr>
        <w:spacing w:before="100" w:after="100" w:line="240" w:lineRule="auto"/>
        <w:jc w:val="both"/>
      </w:pPr>
      <w:r>
        <w:t>Applicants should submit their application online via the Faculty Recruitment Portal (click on “Start Application process” Above to begin). The application must contain the following:</w:t>
      </w:r>
    </w:p>
    <w:p w14:paraId="4B0E88AB" w14:textId="77777777" w:rsidR="00777C95" w:rsidRDefault="00C01ADE">
      <w:pPr>
        <w:pStyle w:val="Normal1"/>
        <w:numPr>
          <w:ilvl w:val="0"/>
          <w:numId w:val="2"/>
        </w:numPr>
        <w:pBdr>
          <w:top w:val="nil"/>
          <w:left w:val="nil"/>
          <w:bottom w:val="nil"/>
          <w:right w:val="nil"/>
          <w:between w:val="nil"/>
        </w:pBdr>
        <w:spacing w:before="100" w:after="100" w:line="240" w:lineRule="auto"/>
        <w:contextualSpacing/>
        <w:jc w:val="both"/>
      </w:pPr>
      <w:r>
        <w:t>A letter of application and curriculum vitae</w:t>
      </w:r>
    </w:p>
    <w:p w14:paraId="079DD407" w14:textId="00092561" w:rsidR="00777C95" w:rsidRDefault="00C01ADE">
      <w:pPr>
        <w:pStyle w:val="Normal1"/>
        <w:numPr>
          <w:ilvl w:val="0"/>
          <w:numId w:val="2"/>
        </w:numPr>
        <w:pBdr>
          <w:top w:val="nil"/>
          <w:left w:val="nil"/>
          <w:bottom w:val="nil"/>
          <w:right w:val="nil"/>
          <w:between w:val="nil"/>
        </w:pBdr>
        <w:spacing w:before="100" w:after="100" w:line="240" w:lineRule="auto"/>
        <w:contextualSpacing/>
        <w:jc w:val="both"/>
      </w:pPr>
      <w:r>
        <w:t xml:space="preserve">Recent </w:t>
      </w:r>
      <w:r w:rsidR="00DE49BE">
        <w:t xml:space="preserve">research </w:t>
      </w:r>
      <w:r>
        <w:t>publications</w:t>
      </w:r>
    </w:p>
    <w:p w14:paraId="4CDBC418" w14:textId="77777777" w:rsidR="00777C95" w:rsidRDefault="00C01ADE">
      <w:pPr>
        <w:pStyle w:val="Normal1"/>
        <w:numPr>
          <w:ilvl w:val="0"/>
          <w:numId w:val="2"/>
        </w:numPr>
        <w:pBdr>
          <w:top w:val="nil"/>
          <w:left w:val="nil"/>
          <w:bottom w:val="nil"/>
          <w:right w:val="nil"/>
          <w:between w:val="nil"/>
        </w:pBdr>
        <w:spacing w:before="100" w:after="100" w:line="240" w:lineRule="auto"/>
        <w:contextualSpacing/>
        <w:jc w:val="both"/>
      </w:pPr>
      <w:r>
        <w:t>A teaching statement</w:t>
      </w:r>
    </w:p>
    <w:p w14:paraId="25FEA55C" w14:textId="77777777" w:rsidR="00777C95" w:rsidRDefault="00C01ADE">
      <w:pPr>
        <w:pStyle w:val="Normal1"/>
        <w:numPr>
          <w:ilvl w:val="0"/>
          <w:numId w:val="2"/>
        </w:numPr>
        <w:pBdr>
          <w:top w:val="nil"/>
          <w:left w:val="nil"/>
          <w:bottom w:val="nil"/>
          <w:right w:val="nil"/>
          <w:between w:val="nil"/>
        </w:pBdr>
        <w:spacing w:before="100" w:after="100" w:line="240" w:lineRule="auto"/>
        <w:contextualSpacing/>
        <w:jc w:val="both"/>
      </w:pPr>
      <w:r>
        <w:t>Results of teaching evaluations (or equivalent evidence, such as a teaching dossier)</w:t>
      </w:r>
    </w:p>
    <w:p w14:paraId="351A8FB1" w14:textId="77777777" w:rsidR="00777C95" w:rsidRDefault="00C01ADE">
      <w:pPr>
        <w:pStyle w:val="Normal1"/>
        <w:numPr>
          <w:ilvl w:val="0"/>
          <w:numId w:val="2"/>
        </w:numPr>
        <w:pBdr>
          <w:top w:val="nil"/>
          <w:left w:val="nil"/>
          <w:bottom w:val="nil"/>
          <w:right w:val="nil"/>
          <w:between w:val="nil"/>
        </w:pBdr>
        <w:spacing w:before="100" w:after="100" w:line="240" w:lineRule="auto"/>
        <w:contextualSpacing/>
        <w:jc w:val="both"/>
      </w:pPr>
      <w:r>
        <w:t>The names of at least 3 individuals who may be contacted for reference letters.</w:t>
      </w:r>
    </w:p>
    <w:p w14:paraId="570747E6" w14:textId="77777777" w:rsidR="00777C95" w:rsidRDefault="00C01ADE">
      <w:pPr>
        <w:pStyle w:val="Normal1"/>
        <w:pBdr>
          <w:top w:val="nil"/>
          <w:left w:val="nil"/>
          <w:bottom w:val="nil"/>
          <w:right w:val="nil"/>
          <w:between w:val="nil"/>
        </w:pBdr>
        <w:spacing w:before="100" w:after="100" w:line="240" w:lineRule="auto"/>
        <w:jc w:val="both"/>
        <w:rPr>
          <w:b/>
        </w:rPr>
      </w:pPr>
      <w:r>
        <w:rPr>
          <w:b/>
        </w:rPr>
        <w:t>Please indicate in your application if you are a Canadian citizen or a permanent resident of Canada.</w:t>
      </w:r>
    </w:p>
    <w:p w14:paraId="4D5E3126" w14:textId="77777777" w:rsidR="00777C95" w:rsidRDefault="00C01ADE">
      <w:pPr>
        <w:pStyle w:val="Normal1"/>
        <w:shd w:val="clear" w:color="auto" w:fill="FFFFFF"/>
        <w:spacing w:line="240" w:lineRule="auto"/>
        <w:rPr>
          <w:b/>
        </w:rPr>
      </w:pPr>
      <w:r>
        <w:rPr>
          <w:color w:val="3D3C3C"/>
        </w:rPr>
        <w:t xml:space="preserve">Please note that applications sent by mail, email, or by fax will not be accepted. </w:t>
      </w:r>
    </w:p>
    <w:p w14:paraId="31905C8B" w14:textId="2750ECFC" w:rsidR="00777C95" w:rsidRDefault="00C01ADE">
      <w:pPr>
        <w:pStyle w:val="Normal1"/>
        <w:pBdr>
          <w:top w:val="nil"/>
          <w:left w:val="nil"/>
          <w:bottom w:val="nil"/>
          <w:right w:val="nil"/>
          <w:between w:val="nil"/>
        </w:pBdr>
        <w:spacing w:before="100" w:after="100" w:line="240" w:lineRule="auto"/>
        <w:jc w:val="both"/>
      </w:pPr>
      <w:r>
        <w:t>Applications and any confidential inquiries can be directed to the Department Hiring Committee (DHC) Chair Kristyn Scott at kristyn.scott@ryerson.ca. The review of applications will begin September 30th, 201</w:t>
      </w:r>
      <w:r w:rsidR="00785B74">
        <w:t>8</w:t>
      </w:r>
      <w:r>
        <w:t xml:space="preserve"> and will continue until the position is filled.</w:t>
      </w:r>
    </w:p>
    <w:p w14:paraId="0A3AFCE4" w14:textId="77777777" w:rsidR="00777C95" w:rsidRDefault="00C01ADE">
      <w:pPr>
        <w:pStyle w:val="Normal1"/>
        <w:pBdr>
          <w:top w:val="nil"/>
          <w:left w:val="nil"/>
          <w:bottom w:val="nil"/>
          <w:right w:val="nil"/>
          <w:between w:val="nil"/>
        </w:pBdr>
        <w:spacing w:before="100" w:after="100" w:line="240" w:lineRule="auto"/>
        <w:jc w:val="both"/>
        <w:rPr>
          <w:color w:val="1C5A98"/>
        </w:rPr>
      </w:pPr>
      <w:r>
        <w:t xml:space="preserve">Any inquiries regarding accessing the Faculty Recruitment Portal can be sent to Laurie Shemavonian, HR Advisor at lshemavo@ryerson.ca. Aboriginal candidates who would like to learn more about working at Ryerson University are welcome to contact Ms. Tracey King, M.Ed., Aboriginal HR Consultant, Aboriginal Recruitment and Retention Initiative, at </w:t>
      </w:r>
      <w:r>
        <w:rPr>
          <w:color w:val="1C5A98"/>
        </w:rPr>
        <w:t>t26king@ryerson.ca.</w:t>
      </w:r>
    </w:p>
    <w:p w14:paraId="140479BE" w14:textId="77777777" w:rsidR="00777C95" w:rsidRDefault="00777C95">
      <w:pPr>
        <w:pStyle w:val="Normal1"/>
        <w:spacing w:line="240" w:lineRule="auto"/>
        <w:jc w:val="both"/>
        <w:rPr>
          <w:b/>
          <w:color w:val="FF0000"/>
        </w:rPr>
      </w:pPr>
    </w:p>
    <w:p w14:paraId="0ABF295F" w14:textId="77777777" w:rsidR="00777C95" w:rsidRDefault="00C01ADE">
      <w:pPr>
        <w:pStyle w:val="Normal1"/>
        <w:spacing w:line="240" w:lineRule="auto"/>
        <w:rPr>
          <w:i/>
        </w:rPr>
      </w:pPr>
      <w:r>
        <w:rPr>
          <w:i/>
        </w:rPr>
        <w:t xml:space="preserve">This position falls under the jurisdiction of the Ryerson Faculty Association (RFA). </w:t>
      </w:r>
    </w:p>
    <w:p w14:paraId="62A2CF97" w14:textId="47855E05" w:rsidR="00777C95" w:rsidRPr="005F14AF" w:rsidRDefault="00C01ADE" w:rsidP="005F14AF">
      <w:pPr>
        <w:rPr>
          <w:rFonts w:ascii="Times" w:eastAsia="Times New Roman" w:hAnsi="Times" w:cs="Times New Roman"/>
          <w:sz w:val="20"/>
          <w:szCs w:val="20"/>
          <w:lang w:val="en-CA"/>
        </w:rPr>
      </w:pPr>
      <w:r>
        <w:rPr>
          <w:i/>
        </w:rPr>
        <w:t>The RFA collective agreement can be viewed at:</w:t>
      </w:r>
      <w:hyperlink r:id="rId12">
        <w:r>
          <w:rPr>
            <w:i/>
          </w:rPr>
          <w:t xml:space="preserve"> </w:t>
        </w:r>
      </w:hyperlink>
      <w:r w:rsidR="005F14AF" w:rsidRPr="005F14AF">
        <w:rPr>
          <w:rFonts w:eastAsia="Times New Roman"/>
        </w:rPr>
        <w:t xml:space="preserve"> </w:t>
      </w:r>
      <w:hyperlink r:id="rId13" w:tgtFrame="_blank" w:history="1">
        <w:r w:rsidR="005F14AF" w:rsidRPr="005F14AF">
          <w:rPr>
            <w:rFonts w:eastAsia="Times New Roman"/>
            <w:color w:val="1155CC"/>
            <w:u w:val="single"/>
            <w:shd w:val="clear" w:color="auto" w:fill="FFFFFF"/>
            <w:lang w:val="en-CA"/>
          </w:rPr>
          <w:t>https://www.ryerson.ca/faculty-affairs/collective-agreements/rfa-collective-agreement/</w:t>
        </w:r>
      </w:hyperlink>
    </w:p>
    <w:p w14:paraId="1B02C8E5" w14:textId="77777777" w:rsidR="00777C95" w:rsidRPr="005F14AF" w:rsidRDefault="00C01ADE">
      <w:pPr>
        <w:pStyle w:val="Normal1"/>
        <w:numPr>
          <w:ilvl w:val="0"/>
          <w:numId w:val="1"/>
        </w:numPr>
        <w:spacing w:line="240" w:lineRule="auto"/>
        <w:contextualSpacing/>
        <w:rPr>
          <w:i/>
        </w:rPr>
      </w:pPr>
      <w:r w:rsidRPr="005F14AF">
        <w:rPr>
          <w:i/>
        </w:rPr>
        <w:t>The RFA’s website can be found at:</w:t>
      </w:r>
      <w:hyperlink r:id="rId14">
        <w:r w:rsidRPr="005F14AF">
          <w:rPr>
            <w:i/>
          </w:rPr>
          <w:t xml:space="preserve"> </w:t>
        </w:r>
      </w:hyperlink>
      <w:hyperlink r:id="rId15">
        <w:r w:rsidRPr="005F14AF">
          <w:rPr>
            <w:i/>
            <w:color w:val="1155CC"/>
            <w:u w:val="single"/>
          </w:rPr>
          <w:t>www.rfanet.ca</w:t>
        </w:r>
      </w:hyperlink>
      <w:r w:rsidRPr="005F14AF">
        <w:rPr>
          <w:i/>
        </w:rPr>
        <w:t>.</w:t>
      </w:r>
    </w:p>
    <w:p w14:paraId="2A7C0ED8" w14:textId="74523461" w:rsidR="005F14AF" w:rsidRPr="005F14AF" w:rsidRDefault="00C01ADE" w:rsidP="005F14AF">
      <w:pPr>
        <w:pStyle w:val="ListParagraph"/>
        <w:numPr>
          <w:ilvl w:val="0"/>
          <w:numId w:val="1"/>
        </w:numPr>
        <w:rPr>
          <w:rFonts w:eastAsia="Times New Roman"/>
          <w:lang w:val="en-CA"/>
        </w:rPr>
      </w:pPr>
      <w:r w:rsidRPr="005F14AF">
        <w:rPr>
          <w:i/>
        </w:rPr>
        <w:t>A summary of RFA benefits can be found at:</w:t>
      </w:r>
      <w:hyperlink r:id="rId16">
        <w:r w:rsidRPr="005F14AF">
          <w:rPr>
            <w:i/>
          </w:rPr>
          <w:t xml:space="preserve"> </w:t>
        </w:r>
      </w:hyperlink>
      <w:r w:rsidR="005F14AF" w:rsidRPr="005F14AF">
        <w:rPr>
          <w:rFonts w:eastAsia="Times New Roman"/>
        </w:rPr>
        <w:t xml:space="preserve"> </w:t>
      </w:r>
      <w:hyperlink r:id="rId17" w:tgtFrame="_blank" w:history="1">
        <w:r w:rsidR="005F14AF" w:rsidRPr="005F14AF">
          <w:rPr>
            <w:rFonts w:eastAsia="Times New Roman"/>
            <w:color w:val="1155CC"/>
            <w:u w:val="single"/>
            <w:shd w:val="clear" w:color="auto" w:fill="FFFFFF"/>
            <w:lang w:val="en-CA"/>
          </w:rPr>
          <w:t>https://www.ryerson.ca/hr/employee-resources/rfa/full-time-LTF/benefits/</w:t>
        </w:r>
      </w:hyperlink>
    </w:p>
    <w:p w14:paraId="54E1C864" w14:textId="64CBF5EE" w:rsidR="00777C95" w:rsidRPr="005F14AF" w:rsidRDefault="00777C95" w:rsidP="005F14AF">
      <w:pPr>
        <w:pStyle w:val="Normal1"/>
        <w:spacing w:line="240" w:lineRule="auto"/>
        <w:ind w:left="720"/>
        <w:contextualSpacing/>
        <w:rPr>
          <w:i/>
        </w:rPr>
      </w:pPr>
    </w:p>
    <w:p w14:paraId="74D17DF1" w14:textId="77777777" w:rsidR="00777C95" w:rsidRDefault="00777C95">
      <w:pPr>
        <w:pStyle w:val="Normal1"/>
        <w:rPr>
          <w:i/>
        </w:rPr>
      </w:pPr>
    </w:p>
    <w:p w14:paraId="23D969AF" w14:textId="77777777" w:rsidR="00777C95" w:rsidRDefault="00777C95">
      <w:pPr>
        <w:pStyle w:val="Normal1"/>
      </w:pPr>
    </w:p>
    <w:sectPr w:rsidR="00777C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60D92"/>
    <w:multiLevelType w:val="multilevel"/>
    <w:tmpl w:val="7B088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871706"/>
    <w:multiLevelType w:val="multilevel"/>
    <w:tmpl w:val="E82ED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F70132"/>
    <w:multiLevelType w:val="multilevel"/>
    <w:tmpl w:val="F7041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95"/>
    <w:rsid w:val="00035BA4"/>
    <w:rsid w:val="00077E08"/>
    <w:rsid w:val="00095753"/>
    <w:rsid w:val="00274848"/>
    <w:rsid w:val="003640E2"/>
    <w:rsid w:val="005F14AF"/>
    <w:rsid w:val="00777C95"/>
    <w:rsid w:val="00785B74"/>
    <w:rsid w:val="009A2169"/>
    <w:rsid w:val="00C01ADE"/>
    <w:rsid w:val="00DE49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539B4"/>
  <w15:docId w15:val="{C84C3A2A-77A2-4018-B361-D7A041FC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semiHidden/>
    <w:unhideWhenUsed/>
    <w:rsid w:val="005F14AF"/>
    <w:rPr>
      <w:color w:val="0000FF"/>
      <w:u w:val="single"/>
    </w:rPr>
  </w:style>
  <w:style w:type="paragraph" w:styleId="ListParagraph">
    <w:name w:val="List Paragraph"/>
    <w:basedOn w:val="Normal"/>
    <w:uiPriority w:val="34"/>
    <w:qFormat/>
    <w:rsid w:val="005F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0342">
      <w:bodyDiv w:val="1"/>
      <w:marLeft w:val="0"/>
      <w:marRight w:val="0"/>
      <w:marTop w:val="0"/>
      <w:marBottom w:val="0"/>
      <w:divBdr>
        <w:top w:val="none" w:sz="0" w:space="0" w:color="auto"/>
        <w:left w:val="none" w:sz="0" w:space="0" w:color="auto"/>
        <w:bottom w:val="none" w:sz="0" w:space="0" w:color="auto"/>
        <w:right w:val="none" w:sz="0" w:space="0" w:color="auto"/>
      </w:divBdr>
    </w:div>
    <w:div w:id="42600617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201996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RyersonU" TargetMode="External"/><Relationship Id="rId13" Type="http://schemas.openxmlformats.org/officeDocument/2006/relationships/hyperlink" Target="https://www.ryerson.ca/faculty-affairs/collective-agreements/rfa-collective-agre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erson.ca/" TargetMode="External"/><Relationship Id="rId12" Type="http://schemas.openxmlformats.org/officeDocument/2006/relationships/hyperlink" Target="http://www.ryerson.ca/content/dam/teaching/documents/RFA_CA/RFA_Collective_Agreement-July_1_2011_to_June_30_2015.pdf" TargetMode="External"/><Relationship Id="rId17" Type="http://schemas.openxmlformats.org/officeDocument/2006/relationships/hyperlink" Target="https://www.ryerson.ca/hr/employee-resources/rfa/full-time-LTF/benefits/" TargetMode="External"/><Relationship Id="rId2" Type="http://schemas.openxmlformats.org/officeDocument/2006/relationships/styles" Target="styles.xml"/><Relationship Id="rId16" Type="http://schemas.openxmlformats.org/officeDocument/2006/relationships/hyperlink" Target="http://www.ryerson.ca/hr/benefits/benefits_by_group/rfa/index.html" TargetMode="External"/><Relationship Id="rId1" Type="http://schemas.openxmlformats.org/officeDocument/2006/relationships/numbering" Target="numbering.xml"/><Relationship Id="rId6" Type="http://schemas.openxmlformats.org/officeDocument/2006/relationships/hyperlink" Target="http://www.ryerson.ca/provost/planning/" TargetMode="External"/><Relationship Id="rId11" Type="http://schemas.openxmlformats.org/officeDocument/2006/relationships/hyperlink" Target="https://www.linkedin.com/company/ryerson-university" TargetMode="External"/><Relationship Id="rId5" Type="http://schemas.openxmlformats.org/officeDocument/2006/relationships/hyperlink" Target="http://www.ryerson.ca/tedrogersschool" TargetMode="External"/><Relationship Id="rId15" Type="http://schemas.openxmlformats.org/officeDocument/2006/relationships/hyperlink" Target="http://www.rfanet.ca/" TargetMode="External"/><Relationship Id="rId10" Type="http://schemas.openxmlformats.org/officeDocument/2006/relationships/hyperlink" Target="https://twitter.com/RyersonE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RyersonHR" TargetMode="External"/><Relationship Id="rId14" Type="http://schemas.openxmlformats.org/officeDocument/2006/relationships/hyperlink" Target="http://www.rfa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 Scott</dc:creator>
  <cp:lastModifiedBy>myap</cp:lastModifiedBy>
  <cp:revision>2</cp:revision>
  <dcterms:created xsi:type="dcterms:W3CDTF">2018-08-14T16:40:00Z</dcterms:created>
  <dcterms:modified xsi:type="dcterms:W3CDTF">2018-08-14T16:40:00Z</dcterms:modified>
</cp:coreProperties>
</file>