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3EC2" w14:textId="77777777" w:rsidR="005138A4" w:rsidRDefault="005138A4" w:rsidP="005138A4">
      <w:pPr>
        <w:spacing w:after="120" w:line="240" w:lineRule="auto"/>
        <w:jc w:val="both"/>
        <w:rPr>
          <w:sz w:val="28"/>
          <w:szCs w:val="28"/>
          <w:lang w:val="fr-CA"/>
        </w:rPr>
      </w:pPr>
      <w:r w:rsidRPr="005E3593">
        <w:rPr>
          <w:sz w:val="28"/>
          <w:szCs w:val="28"/>
          <w:lang w:val="fr-CA"/>
        </w:rPr>
        <w:t>Cadre en relations de travail</w:t>
      </w:r>
    </w:p>
    <w:p w14:paraId="40648DBD" w14:textId="77777777" w:rsidR="005138A4" w:rsidRPr="008A27A7" w:rsidRDefault="005138A4" w:rsidP="005138A4">
      <w:pPr>
        <w:spacing w:after="120" w:line="240" w:lineRule="auto"/>
        <w:jc w:val="both"/>
        <w:rPr>
          <w:sz w:val="28"/>
          <w:szCs w:val="28"/>
          <w:lang w:val="fr-CA"/>
        </w:rPr>
      </w:pPr>
      <w:r w:rsidRPr="005E3593">
        <w:rPr>
          <w:sz w:val="28"/>
          <w:szCs w:val="28"/>
          <w:lang w:val="fr-CA"/>
        </w:rPr>
        <w:t>Association des enseignantes et des enseignants franco</w:t>
      </w:r>
      <w:r>
        <w:rPr>
          <w:sz w:val="28"/>
          <w:szCs w:val="28"/>
          <w:lang w:val="fr-CA"/>
        </w:rPr>
        <w:t>-</w:t>
      </w:r>
      <w:r w:rsidRPr="005E3593">
        <w:rPr>
          <w:sz w:val="28"/>
          <w:szCs w:val="28"/>
          <w:lang w:val="fr-CA"/>
        </w:rPr>
        <w:t>ontariens</w:t>
      </w:r>
      <w:r>
        <w:rPr>
          <w:sz w:val="28"/>
          <w:szCs w:val="28"/>
          <w:lang w:val="fr-CA"/>
        </w:rPr>
        <w:t xml:space="preserve"> (AEFO)</w:t>
      </w:r>
    </w:p>
    <w:p w14:paraId="6C9E6FD6" w14:textId="77777777" w:rsidR="005138A4" w:rsidRDefault="005138A4" w:rsidP="005138A4">
      <w:pPr>
        <w:spacing w:after="120" w:line="240" w:lineRule="auto"/>
        <w:jc w:val="both"/>
        <w:rPr>
          <w:sz w:val="22"/>
          <w:szCs w:val="22"/>
          <w:lang w:val="fr-CA"/>
        </w:rPr>
      </w:pPr>
      <w:r w:rsidRPr="008A27A7">
        <w:rPr>
          <w:sz w:val="22"/>
          <w:szCs w:val="22"/>
          <w:lang w:val="fr-CA"/>
        </w:rPr>
        <w:t>Lieu : O</w:t>
      </w:r>
      <w:r>
        <w:rPr>
          <w:sz w:val="22"/>
          <w:szCs w:val="22"/>
          <w:lang w:val="fr-CA"/>
        </w:rPr>
        <w:t>ttawa</w:t>
      </w:r>
    </w:p>
    <w:p w14:paraId="15355F54" w14:textId="77777777" w:rsidR="005138A4" w:rsidRPr="005E3593" w:rsidRDefault="005138A4" w:rsidP="005138A4">
      <w:pPr>
        <w:spacing w:before="120" w:after="120" w:line="240" w:lineRule="auto"/>
        <w:jc w:val="both"/>
        <w:rPr>
          <w:sz w:val="18"/>
          <w:szCs w:val="18"/>
          <w:lang w:val="fr-CA"/>
        </w:rPr>
      </w:pPr>
      <w:r w:rsidRPr="005E3593">
        <w:rPr>
          <w:sz w:val="18"/>
          <w:szCs w:val="18"/>
          <w:lang w:val="fr-CA"/>
        </w:rPr>
        <w:t>Depuis sa fondation à Ottawa, le 12 mai 1939, l’Association des enseignantes et des enseignants franco-ontariens</w:t>
      </w:r>
      <w:r>
        <w:rPr>
          <w:sz w:val="18"/>
          <w:szCs w:val="18"/>
          <w:lang w:val="fr-CA"/>
        </w:rPr>
        <w:t xml:space="preserve"> (AEFO)</w:t>
      </w:r>
      <w:r w:rsidRPr="005E3593">
        <w:rPr>
          <w:sz w:val="18"/>
          <w:szCs w:val="18"/>
          <w:lang w:val="fr-CA"/>
        </w:rPr>
        <w:t xml:space="preserve"> joue un rôle de premier plan au sein de la communauté francophone de l’Ontario. Elle a joué un rôle déterminant à la fois dans les débats publics et sur le terrain pour instaurer un système scolaire de langue française en Ontario, dont l’importance est cruciale pour la vitalité et l’épanouissement culturel des Franco-Ontariennes et des Franco-Ontariens.</w:t>
      </w:r>
      <w:r>
        <w:rPr>
          <w:sz w:val="18"/>
          <w:szCs w:val="18"/>
          <w:lang w:val="fr-CA"/>
        </w:rPr>
        <w:t xml:space="preserve"> </w:t>
      </w:r>
      <w:r w:rsidRPr="005E3593">
        <w:rPr>
          <w:sz w:val="18"/>
          <w:szCs w:val="18"/>
          <w:lang w:val="fr-CA"/>
        </w:rPr>
        <w:t>D’abord une association professionnelle, l’AEFO a été amenée au fil des ans à se redéfinir comme un syndicat. En 2004, elle a élargi ses rangs pour accueillir d’autres groupes de travailleuses et de travailleurs d’établissements francophones de l’Ontario.</w:t>
      </w:r>
    </w:p>
    <w:p w14:paraId="3B96D349" w14:textId="077A8D0D" w:rsidR="005138A4" w:rsidRPr="005E3593" w:rsidRDefault="005138A4" w:rsidP="005138A4">
      <w:pPr>
        <w:spacing w:before="120" w:after="120" w:line="240" w:lineRule="auto"/>
        <w:jc w:val="both"/>
        <w:rPr>
          <w:sz w:val="18"/>
          <w:szCs w:val="18"/>
          <w:lang w:val="fr-CA"/>
        </w:rPr>
      </w:pPr>
      <w:r w:rsidRPr="005E3593">
        <w:rPr>
          <w:sz w:val="18"/>
          <w:szCs w:val="18"/>
          <w:lang w:val="fr-CA"/>
        </w:rPr>
        <w:t>À travers son histoire, l’AEFO a partagé son engagement autour de quatre préoccupations</w:t>
      </w:r>
      <w:r>
        <w:rPr>
          <w:sz w:val="18"/>
          <w:szCs w:val="18"/>
          <w:lang w:val="fr-CA"/>
        </w:rPr>
        <w:t> :</w:t>
      </w:r>
    </w:p>
    <w:p w14:paraId="24347315" w14:textId="77777777" w:rsidR="005138A4" w:rsidRDefault="005138A4" w:rsidP="005138A4">
      <w:pPr>
        <w:pStyle w:val="ListParagraph"/>
        <w:numPr>
          <w:ilvl w:val="0"/>
          <w:numId w:val="2"/>
        </w:numPr>
        <w:spacing w:before="120" w:after="120" w:line="240" w:lineRule="auto"/>
        <w:jc w:val="both"/>
        <w:rPr>
          <w:sz w:val="18"/>
          <w:szCs w:val="18"/>
          <w:lang w:val="fr-CA"/>
        </w:rPr>
      </w:pPr>
      <w:r w:rsidRPr="008062D7">
        <w:rPr>
          <w:sz w:val="18"/>
          <w:szCs w:val="18"/>
          <w:lang w:val="fr-CA"/>
        </w:rPr>
        <w:t>l’avancement professionnel de ses membres;</w:t>
      </w:r>
    </w:p>
    <w:p w14:paraId="0B2FC51F" w14:textId="77777777" w:rsidR="005138A4" w:rsidRDefault="005138A4" w:rsidP="005138A4">
      <w:pPr>
        <w:pStyle w:val="ListParagraph"/>
        <w:numPr>
          <w:ilvl w:val="0"/>
          <w:numId w:val="2"/>
        </w:numPr>
        <w:spacing w:before="120" w:after="120" w:line="240" w:lineRule="auto"/>
        <w:jc w:val="both"/>
        <w:rPr>
          <w:sz w:val="18"/>
          <w:szCs w:val="18"/>
          <w:lang w:val="fr-CA"/>
        </w:rPr>
      </w:pPr>
      <w:r w:rsidRPr="008062D7">
        <w:rPr>
          <w:sz w:val="18"/>
          <w:szCs w:val="18"/>
          <w:lang w:val="fr-CA"/>
        </w:rPr>
        <w:t>le renouvellement pédagogique de la profession enseignante;</w:t>
      </w:r>
    </w:p>
    <w:p w14:paraId="42A9FD98" w14:textId="77777777" w:rsidR="005138A4" w:rsidRDefault="005138A4" w:rsidP="005138A4">
      <w:pPr>
        <w:pStyle w:val="ListParagraph"/>
        <w:numPr>
          <w:ilvl w:val="0"/>
          <w:numId w:val="2"/>
        </w:numPr>
        <w:spacing w:before="120" w:after="120" w:line="240" w:lineRule="auto"/>
        <w:jc w:val="both"/>
        <w:rPr>
          <w:sz w:val="18"/>
          <w:szCs w:val="18"/>
          <w:lang w:val="fr-CA"/>
        </w:rPr>
      </w:pPr>
      <w:r w:rsidRPr="008062D7">
        <w:rPr>
          <w:sz w:val="18"/>
          <w:szCs w:val="18"/>
          <w:lang w:val="fr-CA"/>
        </w:rPr>
        <w:t>l’amélioration du système scolaire de langue française; et</w:t>
      </w:r>
    </w:p>
    <w:p w14:paraId="0E728710" w14:textId="77777777" w:rsidR="005138A4" w:rsidRPr="008062D7" w:rsidRDefault="005138A4" w:rsidP="005138A4">
      <w:pPr>
        <w:pStyle w:val="ListParagraph"/>
        <w:numPr>
          <w:ilvl w:val="0"/>
          <w:numId w:val="2"/>
        </w:numPr>
        <w:spacing w:before="120" w:after="120" w:line="240" w:lineRule="auto"/>
        <w:jc w:val="both"/>
        <w:rPr>
          <w:sz w:val="18"/>
          <w:szCs w:val="18"/>
          <w:lang w:val="fr-CA"/>
        </w:rPr>
      </w:pPr>
      <w:r w:rsidRPr="008062D7">
        <w:rPr>
          <w:sz w:val="18"/>
          <w:szCs w:val="18"/>
          <w:lang w:val="fr-CA"/>
        </w:rPr>
        <w:t>la promotion du fait français au sein de la société.</w:t>
      </w:r>
    </w:p>
    <w:p w14:paraId="5AB4384B" w14:textId="1F8A5918" w:rsidR="005138A4" w:rsidRDefault="005138A4" w:rsidP="005138A4">
      <w:pPr>
        <w:spacing w:before="120" w:after="120" w:line="240" w:lineRule="auto"/>
        <w:jc w:val="both"/>
        <w:rPr>
          <w:sz w:val="18"/>
          <w:szCs w:val="18"/>
          <w:lang w:val="fr-CA"/>
        </w:rPr>
      </w:pPr>
      <w:r w:rsidRPr="008062D7">
        <w:rPr>
          <w:sz w:val="18"/>
          <w:szCs w:val="18"/>
          <w:lang w:val="fr-CA"/>
        </w:rPr>
        <w:t>L</w:t>
      </w:r>
      <w:r>
        <w:rPr>
          <w:sz w:val="18"/>
          <w:szCs w:val="18"/>
          <w:lang w:val="fr-CA"/>
        </w:rPr>
        <w:t xml:space="preserve">’AEFO est aujourd’hui à la recherche d’un ou une </w:t>
      </w:r>
      <w:r w:rsidRPr="008062D7">
        <w:rPr>
          <w:sz w:val="18"/>
          <w:szCs w:val="18"/>
          <w:lang w:val="fr-CA"/>
        </w:rPr>
        <w:t>cadre en relations de travail</w:t>
      </w:r>
      <w:r>
        <w:rPr>
          <w:sz w:val="18"/>
          <w:szCs w:val="18"/>
          <w:lang w:val="fr-CA"/>
        </w:rPr>
        <w:t xml:space="preserve"> afin de compléter leur équipe. </w:t>
      </w:r>
      <w:r w:rsidR="0081317A" w:rsidRPr="0081317A">
        <w:rPr>
          <w:sz w:val="18"/>
          <w:szCs w:val="18"/>
          <w:lang w:val="fr-CA"/>
        </w:rPr>
        <w:t>Cette personne agira à titre de lead dans les différents dossiers de litiges, ainsi que porte-parole lors du renouvellement de conventions collectives locales</w:t>
      </w:r>
      <w:r w:rsidRPr="008062D7">
        <w:rPr>
          <w:sz w:val="18"/>
          <w:szCs w:val="18"/>
          <w:lang w:val="fr-CA"/>
        </w:rPr>
        <w:t>. En tant que véritable agent de changement, cette personne</w:t>
      </w:r>
      <w:r>
        <w:rPr>
          <w:sz w:val="18"/>
          <w:szCs w:val="18"/>
          <w:lang w:val="fr-CA"/>
        </w:rPr>
        <w:t xml:space="preserve"> </w:t>
      </w:r>
      <w:r w:rsidRPr="008062D7">
        <w:rPr>
          <w:sz w:val="18"/>
          <w:szCs w:val="18"/>
          <w:lang w:val="fr-CA"/>
        </w:rPr>
        <w:t xml:space="preserve">privilégiera une approche novatrice et concertée à l’égard des dossiers en cours tout en s’appuyant sur la jurisprudence. Elle agira comme partenaire stratégique puisqu’elle dispensera des conseils et des avis spécialisés en matière de relations de travail et de résolution de problèmes aux différents membres de l’équipe de l’AEFO afin d’assurer, entre autres, une uniformité et une efficacité du processus de résolution. En tant que </w:t>
      </w:r>
      <w:proofErr w:type="spellStart"/>
      <w:r w:rsidRPr="008062D7">
        <w:rPr>
          <w:sz w:val="18"/>
          <w:szCs w:val="18"/>
          <w:lang w:val="fr-CA"/>
        </w:rPr>
        <w:t>défensseur·e</w:t>
      </w:r>
      <w:proofErr w:type="spellEnd"/>
      <w:r w:rsidRPr="008062D7">
        <w:rPr>
          <w:sz w:val="18"/>
          <w:szCs w:val="18"/>
          <w:lang w:val="fr-CA"/>
        </w:rPr>
        <w:t xml:space="preserve"> et </w:t>
      </w:r>
      <w:proofErr w:type="spellStart"/>
      <w:r w:rsidRPr="008062D7">
        <w:rPr>
          <w:sz w:val="18"/>
          <w:szCs w:val="18"/>
          <w:lang w:val="fr-CA"/>
        </w:rPr>
        <w:t>représentant·e</w:t>
      </w:r>
      <w:proofErr w:type="spellEnd"/>
      <w:r w:rsidRPr="008062D7">
        <w:rPr>
          <w:sz w:val="18"/>
          <w:szCs w:val="18"/>
          <w:lang w:val="fr-CA"/>
        </w:rPr>
        <w:t xml:space="preserve"> des membres de l’AEFO, </w:t>
      </w:r>
      <w:proofErr w:type="spellStart"/>
      <w:r w:rsidRPr="008062D7">
        <w:rPr>
          <w:sz w:val="18"/>
          <w:szCs w:val="18"/>
          <w:lang w:val="fr-CA"/>
        </w:rPr>
        <w:t>la</w:t>
      </w:r>
      <w:proofErr w:type="spellEnd"/>
      <w:r w:rsidRPr="008062D7">
        <w:rPr>
          <w:sz w:val="18"/>
          <w:szCs w:val="18"/>
          <w:lang w:val="fr-CA"/>
        </w:rPr>
        <w:t xml:space="preserve"> ou le cadre en relations de travail veillera en outre au respect des conventions collectives et des lois pertinentes.</w:t>
      </w:r>
    </w:p>
    <w:p w14:paraId="4EE07A06" w14:textId="77777777" w:rsidR="005138A4" w:rsidRDefault="005138A4" w:rsidP="005138A4">
      <w:pPr>
        <w:spacing w:before="120" w:after="120" w:line="240" w:lineRule="auto"/>
        <w:jc w:val="both"/>
        <w:rPr>
          <w:sz w:val="18"/>
          <w:szCs w:val="18"/>
          <w:lang w:val="fr-CA"/>
        </w:rPr>
      </w:pPr>
      <w:r w:rsidRPr="0032501A">
        <w:rPr>
          <w:sz w:val="18"/>
          <w:szCs w:val="18"/>
          <w:lang w:val="fr-CA"/>
        </w:rPr>
        <w:t xml:space="preserve">L’AEFO </w:t>
      </w:r>
      <w:r>
        <w:rPr>
          <w:sz w:val="18"/>
          <w:szCs w:val="18"/>
          <w:lang w:val="fr-CA"/>
        </w:rPr>
        <w:t>souhaite embaucher</w:t>
      </w:r>
      <w:r w:rsidRPr="0032501A">
        <w:rPr>
          <w:sz w:val="18"/>
          <w:szCs w:val="18"/>
          <w:lang w:val="fr-CA"/>
        </w:rPr>
        <w:t xml:space="preserve"> une personne ayant d’excellentes connaissances en relations de travail, en particulier dans un environnement syndiqué du monde de l’éducation en Ontario. </w:t>
      </w:r>
      <w:proofErr w:type="spellStart"/>
      <w:r w:rsidRPr="0032501A">
        <w:rPr>
          <w:sz w:val="18"/>
          <w:szCs w:val="18"/>
          <w:lang w:val="fr-CA"/>
        </w:rPr>
        <w:t>La</w:t>
      </w:r>
      <w:proofErr w:type="spellEnd"/>
      <w:r w:rsidRPr="0032501A">
        <w:rPr>
          <w:sz w:val="18"/>
          <w:szCs w:val="18"/>
          <w:lang w:val="fr-CA"/>
        </w:rPr>
        <w:t xml:space="preserve"> ou le cadre en relations de travail possède une vaste expérience en interprétation de clauses de conventions collectives ainsi qu’en gestion de dossiers de griefs et de processus d’arbitrage. Cette personne privilégie l’ouverture, l’inclusion, la collaboration, la consultation et la recherche de consensus. Elle est habituée à résoudre des problèmes, à jongler avec plusieurs dossiers à la fois tout en respectant les échéanciers. </w:t>
      </w:r>
      <w:proofErr w:type="spellStart"/>
      <w:r w:rsidRPr="0032501A">
        <w:rPr>
          <w:sz w:val="18"/>
          <w:szCs w:val="18"/>
          <w:lang w:val="fr-CA"/>
        </w:rPr>
        <w:t>Communicateur·trice</w:t>
      </w:r>
      <w:proofErr w:type="spellEnd"/>
      <w:r w:rsidRPr="0032501A">
        <w:rPr>
          <w:sz w:val="18"/>
          <w:szCs w:val="18"/>
          <w:lang w:val="fr-CA"/>
        </w:rPr>
        <w:t xml:space="preserve"> efficace et </w:t>
      </w:r>
      <w:proofErr w:type="spellStart"/>
      <w:r w:rsidRPr="0032501A">
        <w:rPr>
          <w:sz w:val="18"/>
          <w:szCs w:val="18"/>
          <w:lang w:val="fr-CA"/>
        </w:rPr>
        <w:t>transparent·e</w:t>
      </w:r>
      <w:proofErr w:type="spellEnd"/>
      <w:r w:rsidRPr="0032501A">
        <w:rPr>
          <w:sz w:val="18"/>
          <w:szCs w:val="18"/>
          <w:lang w:val="fr-CA"/>
        </w:rPr>
        <w:t xml:space="preserve">, </w:t>
      </w:r>
      <w:proofErr w:type="spellStart"/>
      <w:r w:rsidRPr="0032501A">
        <w:rPr>
          <w:sz w:val="18"/>
          <w:szCs w:val="18"/>
          <w:lang w:val="fr-CA"/>
        </w:rPr>
        <w:t>déterminé·e</w:t>
      </w:r>
      <w:proofErr w:type="spellEnd"/>
      <w:r w:rsidRPr="0032501A">
        <w:rPr>
          <w:sz w:val="18"/>
          <w:szCs w:val="18"/>
          <w:lang w:val="fr-CA"/>
        </w:rPr>
        <w:t xml:space="preserve"> et </w:t>
      </w:r>
      <w:proofErr w:type="spellStart"/>
      <w:r w:rsidRPr="0032501A">
        <w:rPr>
          <w:sz w:val="18"/>
          <w:szCs w:val="18"/>
          <w:lang w:val="fr-CA"/>
        </w:rPr>
        <w:t>doué·e</w:t>
      </w:r>
      <w:proofErr w:type="spellEnd"/>
      <w:r w:rsidRPr="0032501A">
        <w:rPr>
          <w:sz w:val="18"/>
          <w:szCs w:val="18"/>
          <w:lang w:val="fr-CA"/>
        </w:rPr>
        <w:t xml:space="preserve"> pour la médiation et la facilitation, </w:t>
      </w:r>
      <w:proofErr w:type="spellStart"/>
      <w:r w:rsidRPr="0032501A">
        <w:rPr>
          <w:sz w:val="18"/>
          <w:szCs w:val="18"/>
          <w:lang w:val="fr-CA"/>
        </w:rPr>
        <w:t>la</w:t>
      </w:r>
      <w:proofErr w:type="spellEnd"/>
      <w:r w:rsidRPr="0032501A">
        <w:rPr>
          <w:sz w:val="18"/>
          <w:szCs w:val="18"/>
          <w:lang w:val="fr-CA"/>
        </w:rPr>
        <w:t xml:space="preserve"> ou le cadre en relations de travail est </w:t>
      </w:r>
      <w:proofErr w:type="spellStart"/>
      <w:r w:rsidRPr="0032501A">
        <w:rPr>
          <w:sz w:val="18"/>
          <w:szCs w:val="18"/>
          <w:lang w:val="fr-CA"/>
        </w:rPr>
        <w:t>reconnu·e</w:t>
      </w:r>
      <w:proofErr w:type="spellEnd"/>
      <w:r w:rsidRPr="0032501A">
        <w:rPr>
          <w:sz w:val="18"/>
          <w:szCs w:val="18"/>
          <w:lang w:val="fr-CA"/>
        </w:rPr>
        <w:t xml:space="preserve"> pour voir la situation dans son ensemble lorsqu’il s’agit d’examiner les défis tactiques à relever et l’attente de consensus. Ses collègues la décrivent comme une personne dynamique, empathique, respectueuse, cohérente, juste et équitable. En outre, l’AEFO est à la recherche d’une personne parfaitement bilingue dans les deux langues officielles, qui sera capable de participer activement à la réalisation de la vision de l’organisation.</w:t>
      </w:r>
    </w:p>
    <w:p w14:paraId="14B61DC9" w14:textId="4062C0AF" w:rsidR="005138A4" w:rsidRPr="001F0587" w:rsidRDefault="005138A4" w:rsidP="005138A4">
      <w:pPr>
        <w:spacing w:before="120" w:line="240" w:lineRule="auto"/>
        <w:jc w:val="both"/>
        <w:rPr>
          <w:sz w:val="18"/>
          <w:szCs w:val="18"/>
          <w:lang w:val="fr-CA"/>
        </w:rPr>
      </w:pPr>
      <w:r w:rsidRPr="001F0587">
        <w:rPr>
          <w:sz w:val="18"/>
          <w:szCs w:val="18"/>
          <w:lang w:val="fr-CA"/>
        </w:rPr>
        <w:t xml:space="preserve">Ce poste représente une occasion unique pour </w:t>
      </w:r>
      <w:proofErr w:type="spellStart"/>
      <w:r w:rsidRPr="001F0587">
        <w:rPr>
          <w:sz w:val="18"/>
          <w:szCs w:val="18"/>
          <w:lang w:val="fr-CA"/>
        </w:rPr>
        <w:t>un</w:t>
      </w:r>
      <w:r w:rsidRPr="005E3593">
        <w:rPr>
          <w:sz w:val="18"/>
          <w:szCs w:val="18"/>
          <w:lang w:val="fr-CA"/>
        </w:rPr>
        <w:t>·e</w:t>
      </w:r>
      <w:proofErr w:type="spellEnd"/>
      <w:r>
        <w:rPr>
          <w:sz w:val="18"/>
          <w:szCs w:val="18"/>
          <w:lang w:val="fr-CA"/>
        </w:rPr>
        <w:t xml:space="preserve"> </w:t>
      </w:r>
      <w:proofErr w:type="spellStart"/>
      <w:r>
        <w:rPr>
          <w:sz w:val="18"/>
          <w:szCs w:val="18"/>
          <w:lang w:val="fr-CA"/>
        </w:rPr>
        <w:t>professionnel</w:t>
      </w:r>
      <w:r w:rsidRPr="005E3593">
        <w:rPr>
          <w:sz w:val="18"/>
          <w:szCs w:val="18"/>
          <w:lang w:val="fr-CA"/>
        </w:rPr>
        <w:t>·</w:t>
      </w:r>
      <w:r>
        <w:rPr>
          <w:sz w:val="18"/>
          <w:szCs w:val="18"/>
          <w:lang w:val="fr-CA"/>
        </w:rPr>
        <w:t>l</w:t>
      </w:r>
      <w:r w:rsidRPr="005E3593">
        <w:rPr>
          <w:sz w:val="18"/>
          <w:szCs w:val="18"/>
          <w:lang w:val="fr-CA"/>
        </w:rPr>
        <w:t>e</w:t>
      </w:r>
      <w:proofErr w:type="spellEnd"/>
      <w:r>
        <w:rPr>
          <w:sz w:val="18"/>
          <w:szCs w:val="18"/>
          <w:lang w:val="fr-CA"/>
        </w:rPr>
        <w:t xml:space="preserve"> </w:t>
      </w:r>
      <w:proofErr w:type="spellStart"/>
      <w:r w:rsidRPr="001F0587">
        <w:rPr>
          <w:sz w:val="18"/>
          <w:szCs w:val="18"/>
          <w:lang w:val="fr-CA"/>
        </w:rPr>
        <w:t>passionné</w:t>
      </w:r>
      <w:r w:rsidRPr="005E3593">
        <w:rPr>
          <w:sz w:val="18"/>
          <w:szCs w:val="18"/>
          <w:lang w:val="fr-CA"/>
        </w:rPr>
        <w:t>·e</w:t>
      </w:r>
      <w:proofErr w:type="spellEnd"/>
      <w:r w:rsidRPr="001F0587">
        <w:rPr>
          <w:sz w:val="18"/>
          <w:szCs w:val="18"/>
          <w:lang w:val="fr-CA"/>
        </w:rPr>
        <w:t xml:space="preserve"> qui souhaite faire partie d’une équipe dynamique. Pour soumettre votre candidature, veuillez transmettre votre cv en français </w:t>
      </w:r>
      <w:r w:rsidRPr="00500F65">
        <w:rPr>
          <w:b/>
          <w:bCs/>
          <w:sz w:val="18"/>
          <w:szCs w:val="18"/>
          <w:lang w:val="fr-CA"/>
        </w:rPr>
        <w:t xml:space="preserve">avant le </w:t>
      </w:r>
      <w:r w:rsidR="00372D96">
        <w:rPr>
          <w:b/>
          <w:bCs/>
          <w:sz w:val="18"/>
          <w:szCs w:val="18"/>
          <w:lang w:val="fr-CA"/>
        </w:rPr>
        <w:t>5</w:t>
      </w:r>
      <w:r>
        <w:rPr>
          <w:b/>
          <w:bCs/>
          <w:sz w:val="18"/>
          <w:szCs w:val="18"/>
          <w:lang w:val="fr-CA"/>
        </w:rPr>
        <w:t xml:space="preserve"> juin</w:t>
      </w:r>
      <w:r>
        <w:rPr>
          <w:sz w:val="18"/>
          <w:szCs w:val="18"/>
          <w:lang w:val="fr-CA"/>
        </w:rPr>
        <w:t xml:space="preserve"> </w:t>
      </w:r>
      <w:r w:rsidRPr="00460D3C">
        <w:rPr>
          <w:b/>
          <w:bCs/>
          <w:sz w:val="18"/>
          <w:szCs w:val="18"/>
          <w:lang w:val="fr-CA"/>
        </w:rPr>
        <w:t>202</w:t>
      </w:r>
      <w:r>
        <w:rPr>
          <w:b/>
          <w:bCs/>
          <w:sz w:val="18"/>
          <w:szCs w:val="18"/>
          <w:lang w:val="fr-CA"/>
        </w:rPr>
        <w:t>3</w:t>
      </w:r>
      <w:r>
        <w:rPr>
          <w:sz w:val="18"/>
          <w:szCs w:val="18"/>
          <w:lang w:val="fr-CA"/>
        </w:rPr>
        <w:t xml:space="preserve"> </w:t>
      </w:r>
      <w:r w:rsidRPr="001F0587">
        <w:rPr>
          <w:sz w:val="18"/>
          <w:szCs w:val="18"/>
          <w:lang w:val="fr-CA"/>
        </w:rPr>
        <w:t xml:space="preserve">à </w:t>
      </w:r>
      <w:r w:rsidR="00000000">
        <w:fldChar w:fldCharType="begin"/>
      </w:r>
      <w:r w:rsidR="00000000" w:rsidRPr="0081317A">
        <w:rPr>
          <w:lang w:val="fr-CA"/>
        </w:rPr>
        <w:instrText xml:space="preserve"> HYPERLINK "mailto:mgaudreault@boyden.com" </w:instrText>
      </w:r>
      <w:r w:rsidR="00000000">
        <w:fldChar w:fldCharType="separate"/>
      </w:r>
      <w:r w:rsidRPr="00305F26">
        <w:rPr>
          <w:rStyle w:val="Hyperlink"/>
          <w:sz w:val="18"/>
          <w:szCs w:val="18"/>
          <w:lang w:val="fr-CA"/>
        </w:rPr>
        <w:t>mgaudreault@boyden.com</w:t>
      </w:r>
      <w:r w:rsidR="00000000">
        <w:rPr>
          <w:rStyle w:val="Hyperlink"/>
          <w:sz w:val="18"/>
          <w:szCs w:val="18"/>
          <w:lang w:val="fr-CA"/>
        </w:rPr>
        <w:fldChar w:fldCharType="end"/>
      </w:r>
      <w:r>
        <w:rPr>
          <w:sz w:val="18"/>
          <w:szCs w:val="18"/>
          <w:lang w:val="fr-CA"/>
        </w:rPr>
        <w:t xml:space="preserve"> </w:t>
      </w:r>
      <w:r w:rsidRPr="001F0587">
        <w:rPr>
          <w:sz w:val="18"/>
          <w:szCs w:val="18"/>
          <w:lang w:val="fr-CA"/>
        </w:rPr>
        <w:t>en indiquant le titre du poste dans l’objet de votre courriel.</w:t>
      </w:r>
    </w:p>
    <w:p w14:paraId="29A16730" w14:textId="77777777" w:rsidR="005138A4" w:rsidRPr="001F0587" w:rsidRDefault="005138A4" w:rsidP="005138A4">
      <w:pPr>
        <w:spacing w:before="120" w:line="240" w:lineRule="auto"/>
        <w:jc w:val="both"/>
        <w:rPr>
          <w:i/>
          <w:iCs/>
          <w:sz w:val="18"/>
          <w:szCs w:val="18"/>
          <w:lang w:val="fr-CA"/>
        </w:rPr>
      </w:pPr>
      <w:r w:rsidRPr="001F0587">
        <w:rPr>
          <w:i/>
          <w:iCs/>
          <w:sz w:val="18"/>
          <w:szCs w:val="18"/>
          <w:lang w:val="fr-CA"/>
        </w:rPr>
        <w:t xml:space="preserve">Nous remercions toutes les personnes de leur intérêt pour ce poste. Veuillez toutefois noter </w:t>
      </w:r>
      <w:r w:rsidRPr="001F0587">
        <w:rPr>
          <w:i/>
          <w:iCs/>
          <w:sz w:val="18"/>
          <w:szCs w:val="18"/>
          <w:lang w:val="fr-CA"/>
        </w:rPr>
        <w:lastRenderedPageBreak/>
        <w:t xml:space="preserve">que nous ne communiquerons qu’avec les </w:t>
      </w:r>
      <w:proofErr w:type="spellStart"/>
      <w:r w:rsidRPr="001F0587">
        <w:rPr>
          <w:i/>
          <w:iCs/>
          <w:sz w:val="18"/>
          <w:szCs w:val="18"/>
          <w:lang w:val="fr-CA"/>
        </w:rPr>
        <w:t>candidats</w:t>
      </w:r>
      <w:r w:rsidRPr="005E3593">
        <w:rPr>
          <w:i/>
          <w:iCs/>
          <w:sz w:val="18"/>
          <w:szCs w:val="18"/>
          <w:lang w:val="fr-CA"/>
        </w:rPr>
        <w:t>·e</w:t>
      </w:r>
      <w:r>
        <w:rPr>
          <w:i/>
          <w:iCs/>
          <w:sz w:val="18"/>
          <w:szCs w:val="18"/>
          <w:lang w:val="fr-CA"/>
        </w:rPr>
        <w:t>s</w:t>
      </w:r>
      <w:proofErr w:type="spellEnd"/>
      <w:r w:rsidRPr="001F0587">
        <w:rPr>
          <w:i/>
          <w:iCs/>
          <w:sz w:val="18"/>
          <w:szCs w:val="18"/>
          <w:lang w:val="fr-CA"/>
        </w:rPr>
        <w:t xml:space="preserve"> </w:t>
      </w:r>
      <w:proofErr w:type="spellStart"/>
      <w:r w:rsidRPr="001F0587">
        <w:rPr>
          <w:i/>
          <w:iCs/>
          <w:sz w:val="18"/>
          <w:szCs w:val="18"/>
          <w:lang w:val="fr-CA"/>
        </w:rPr>
        <w:t>retenus</w:t>
      </w:r>
      <w:r w:rsidRPr="005E3593">
        <w:rPr>
          <w:i/>
          <w:iCs/>
          <w:sz w:val="18"/>
          <w:szCs w:val="18"/>
          <w:lang w:val="fr-CA"/>
        </w:rPr>
        <w:t>·e</w:t>
      </w:r>
      <w:r>
        <w:rPr>
          <w:i/>
          <w:iCs/>
          <w:sz w:val="18"/>
          <w:szCs w:val="18"/>
          <w:lang w:val="fr-CA"/>
        </w:rPr>
        <w:t>s</w:t>
      </w:r>
      <w:proofErr w:type="spellEnd"/>
      <w:r w:rsidRPr="001F0587">
        <w:rPr>
          <w:i/>
          <w:iCs/>
          <w:sz w:val="18"/>
          <w:szCs w:val="18"/>
          <w:lang w:val="fr-CA"/>
        </w:rPr>
        <w:t xml:space="preserve"> pour la suite du processus.</w:t>
      </w:r>
    </w:p>
    <w:p w14:paraId="300054A3" w14:textId="77777777" w:rsidR="005138A4" w:rsidRPr="003A3D4C" w:rsidRDefault="005138A4" w:rsidP="005138A4">
      <w:pPr>
        <w:widowControl/>
        <w:suppressAutoHyphens w:val="0"/>
        <w:spacing w:before="120" w:after="160" w:line="276" w:lineRule="auto"/>
        <w:jc w:val="both"/>
        <w:rPr>
          <w:i/>
          <w:iCs/>
          <w:sz w:val="18"/>
          <w:szCs w:val="18"/>
          <w:lang w:val="fr-CA"/>
        </w:rPr>
      </w:pPr>
      <w:r w:rsidRPr="003A3D4C">
        <w:rPr>
          <w:i/>
          <w:iCs/>
          <w:sz w:val="18"/>
          <w:szCs w:val="18"/>
          <w:lang w:val="fr-CA"/>
        </w:rPr>
        <w:t>L</w:t>
      </w:r>
      <w:r>
        <w:rPr>
          <w:i/>
          <w:iCs/>
          <w:sz w:val="18"/>
          <w:szCs w:val="18"/>
          <w:lang w:val="fr-CA"/>
        </w:rPr>
        <w:t xml:space="preserve">’AEFO </w:t>
      </w:r>
      <w:r w:rsidRPr="003A3D4C">
        <w:rPr>
          <w:i/>
          <w:iCs/>
          <w:sz w:val="18"/>
          <w:szCs w:val="18"/>
          <w:lang w:val="fr-CA"/>
        </w:rPr>
        <w:t>souscrit à l’équité en matière d’emploi. Nous encourageons fortement les femmes, les Autochtones, les personnes handicapées et les membres des minorités visibles à poser leur candidature. Conformément aux exigences de Citoyenneté et Immigration Canada, toutes les personnes qualifiées sont invitées à postuler; la priorité sera toutefois accordée aux citoyens canadiens et aux résidents permanents.</w:t>
      </w:r>
    </w:p>
    <w:p w14:paraId="7A10D0D4" w14:textId="4CA364B0" w:rsidR="002A4FA9" w:rsidRPr="005138A4" w:rsidRDefault="002A4FA9" w:rsidP="005138A4">
      <w:pPr>
        <w:jc w:val="both"/>
        <w:rPr>
          <w:lang w:val="fr-CA"/>
        </w:rPr>
      </w:pPr>
    </w:p>
    <w:sectPr w:rsidR="002A4FA9" w:rsidRPr="005138A4">
      <w:headerReference w:type="default" r:id="rId8"/>
      <w:footerReference w:type="default" r:id="rId9"/>
      <w:headerReference w:type="first" r:id="rId10"/>
      <w:pgSz w:w="12240" w:h="15840"/>
      <w:pgMar w:top="2268" w:right="680" w:bottom="1418" w:left="3402" w:header="62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2FF8" w14:textId="77777777" w:rsidR="00693160" w:rsidRDefault="00693160">
      <w:pPr>
        <w:spacing w:line="240" w:lineRule="auto"/>
      </w:pPr>
      <w:r>
        <w:separator/>
      </w:r>
    </w:p>
  </w:endnote>
  <w:endnote w:type="continuationSeparator" w:id="0">
    <w:p w14:paraId="2D9C7D44" w14:textId="77777777" w:rsidR="00693160" w:rsidRDefault="006931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Light">
    <w:altName w:val="Calibri Ligh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6637" w14:textId="77777777" w:rsidR="009250FE" w:rsidRDefault="00D62FA2">
    <w:pPr>
      <w:widowControl/>
      <w:pBdr>
        <w:top w:val="nil"/>
        <w:left w:val="nil"/>
        <w:bottom w:val="nil"/>
        <w:right w:val="nil"/>
        <w:between w:val="nil"/>
      </w:pBdr>
      <w:spacing w:line="240" w:lineRule="auto"/>
      <w:ind w:left="-2722"/>
      <w:rPr>
        <w:color w:val="009FE3"/>
        <w:sz w:val="24"/>
        <w:szCs w:val="24"/>
      </w:rPr>
    </w:pPr>
    <w:r>
      <w:rPr>
        <w:color w:val="009FE3"/>
        <w:sz w:val="24"/>
        <w:szCs w:val="24"/>
      </w:rPr>
      <w:fldChar w:fldCharType="begin"/>
    </w:r>
    <w:r>
      <w:rPr>
        <w:color w:val="009FE3"/>
        <w:sz w:val="24"/>
        <w:szCs w:val="24"/>
      </w:rPr>
      <w:instrText>PAGE</w:instrText>
    </w:r>
    <w:r>
      <w:rPr>
        <w:color w:val="009FE3"/>
        <w:sz w:val="24"/>
        <w:szCs w:val="24"/>
      </w:rPr>
      <w:fldChar w:fldCharType="separate"/>
    </w:r>
    <w:r w:rsidR="002B36B2">
      <w:rPr>
        <w:noProof/>
        <w:color w:val="009FE3"/>
        <w:sz w:val="24"/>
        <w:szCs w:val="24"/>
      </w:rPr>
      <w:t>1</w:t>
    </w:r>
    <w:r>
      <w:rPr>
        <w:color w:val="009FE3"/>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4F81" w14:textId="77777777" w:rsidR="00693160" w:rsidRDefault="00693160">
      <w:pPr>
        <w:spacing w:line="240" w:lineRule="auto"/>
      </w:pPr>
      <w:r>
        <w:separator/>
      </w:r>
    </w:p>
  </w:footnote>
  <w:footnote w:type="continuationSeparator" w:id="0">
    <w:p w14:paraId="17E8AD7B" w14:textId="77777777" w:rsidR="00693160" w:rsidRDefault="006931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262A" w14:textId="77777777" w:rsidR="009250FE" w:rsidRDefault="009250FE">
    <w:pPr>
      <w:pBdr>
        <w:top w:val="nil"/>
        <w:left w:val="nil"/>
        <w:bottom w:val="nil"/>
        <w:right w:val="nil"/>
        <w:between w:val="nil"/>
      </w:pBdr>
      <w:spacing w:line="276" w:lineRule="auto"/>
      <w:rPr>
        <w:color w:val="009FE3"/>
        <w:sz w:val="22"/>
        <w:szCs w:val="22"/>
      </w:rPr>
    </w:pPr>
  </w:p>
  <w:tbl>
    <w:tblPr>
      <w:tblStyle w:val="a2"/>
      <w:tblW w:w="10916" w:type="dxa"/>
      <w:tblInd w:w="-2694" w:type="dxa"/>
      <w:tblBorders>
        <w:top w:val="nil"/>
        <w:left w:val="nil"/>
        <w:bottom w:val="nil"/>
        <w:right w:val="nil"/>
        <w:insideH w:val="nil"/>
        <w:insideV w:val="nil"/>
      </w:tblBorders>
      <w:tblLayout w:type="fixed"/>
      <w:tblLook w:val="0400" w:firstRow="0" w:lastRow="0" w:firstColumn="0" w:lastColumn="0" w:noHBand="0" w:noVBand="1"/>
    </w:tblPr>
    <w:tblGrid>
      <w:gridCol w:w="2694"/>
      <w:gridCol w:w="5812"/>
      <w:gridCol w:w="2410"/>
    </w:tblGrid>
    <w:tr w:rsidR="009250FE" w14:paraId="1C6908C9" w14:textId="77777777" w:rsidTr="00432F5C">
      <w:trPr>
        <w:trHeight w:val="977"/>
      </w:trPr>
      <w:tc>
        <w:tcPr>
          <w:tcW w:w="2694" w:type="dxa"/>
          <w:tcMar>
            <w:left w:w="0" w:type="dxa"/>
          </w:tcMar>
        </w:tcPr>
        <w:p w14:paraId="478FFB1D" w14:textId="77777777" w:rsidR="009250FE" w:rsidRDefault="00D62FA2">
          <w:pPr>
            <w:pBdr>
              <w:top w:val="nil"/>
              <w:left w:val="nil"/>
              <w:bottom w:val="nil"/>
              <w:right w:val="nil"/>
              <w:between w:val="nil"/>
            </w:pBdr>
            <w:spacing w:before="120" w:after="120" w:line="240" w:lineRule="auto"/>
            <w:rPr>
              <w:color w:val="000000"/>
              <w:sz w:val="18"/>
              <w:szCs w:val="18"/>
            </w:rPr>
          </w:pPr>
          <w:r>
            <w:rPr>
              <w:noProof/>
            </w:rPr>
            <w:drawing>
              <wp:anchor distT="0" distB="0" distL="114300" distR="114300" simplePos="0" relativeHeight="251658240" behindDoc="0" locked="0" layoutInCell="1" hidden="0" allowOverlap="1" wp14:anchorId="67F316BB" wp14:editId="73BBE616">
                <wp:simplePos x="0" y="0"/>
                <wp:positionH relativeFrom="column">
                  <wp:posOffset>3</wp:posOffset>
                </wp:positionH>
                <wp:positionV relativeFrom="paragraph">
                  <wp:posOffset>0</wp:posOffset>
                </wp:positionV>
                <wp:extent cx="1260000" cy="42120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0000" cy="421200"/>
                        </a:xfrm>
                        <a:prstGeom prst="rect">
                          <a:avLst/>
                        </a:prstGeom>
                        <a:ln/>
                      </pic:spPr>
                    </pic:pic>
                  </a:graphicData>
                </a:graphic>
              </wp:anchor>
            </w:drawing>
          </w:r>
        </w:p>
      </w:tc>
      <w:tc>
        <w:tcPr>
          <w:tcW w:w="5812" w:type="dxa"/>
          <w:tcBorders>
            <w:top w:val="single" w:sz="6" w:space="0" w:color="009FE3"/>
            <w:bottom w:val="single" w:sz="6" w:space="0" w:color="009FE3"/>
          </w:tcBorders>
        </w:tcPr>
        <w:p w14:paraId="79A169EA" w14:textId="0F218154" w:rsidR="009250FE" w:rsidRDefault="00D11812" w:rsidP="00432F5C">
          <w:pPr>
            <w:widowControl/>
            <w:pBdr>
              <w:top w:val="nil"/>
              <w:left w:val="nil"/>
              <w:bottom w:val="nil"/>
              <w:right w:val="nil"/>
              <w:between w:val="nil"/>
            </w:pBdr>
            <w:spacing w:before="160" w:after="60" w:line="240" w:lineRule="auto"/>
            <w:ind w:left="-113"/>
            <w:rPr>
              <w:color w:val="009FE3"/>
              <w:sz w:val="48"/>
              <w:szCs w:val="48"/>
            </w:rPr>
          </w:pPr>
          <w:proofErr w:type="spellStart"/>
          <w:r w:rsidRPr="00432F5C">
            <w:rPr>
              <w:color w:val="009FE3"/>
              <w:sz w:val="36"/>
              <w:szCs w:val="36"/>
            </w:rPr>
            <w:t>Opportunité</w:t>
          </w:r>
          <w:proofErr w:type="spellEnd"/>
        </w:p>
      </w:tc>
      <w:tc>
        <w:tcPr>
          <w:tcW w:w="2410" w:type="dxa"/>
          <w:tcBorders>
            <w:top w:val="single" w:sz="6" w:space="0" w:color="009FE3"/>
            <w:bottom w:val="single" w:sz="6" w:space="0" w:color="009FE3"/>
          </w:tcBorders>
        </w:tcPr>
        <w:p w14:paraId="406922CE" w14:textId="77777777" w:rsidR="009250FE" w:rsidRDefault="00D62FA2" w:rsidP="00432F5C">
          <w:pPr>
            <w:pBdr>
              <w:top w:val="nil"/>
              <w:left w:val="nil"/>
              <w:bottom w:val="nil"/>
              <w:right w:val="nil"/>
              <w:between w:val="nil"/>
            </w:pBdr>
            <w:spacing w:before="420" w:line="259" w:lineRule="auto"/>
            <w:rPr>
              <w:color w:val="009FE3"/>
              <w:sz w:val="22"/>
              <w:szCs w:val="22"/>
            </w:rPr>
          </w:pPr>
          <w:r>
            <w:rPr>
              <w:color w:val="009FE3"/>
              <w:sz w:val="22"/>
              <w:szCs w:val="22"/>
            </w:rPr>
            <w:t>www.boyden.com</w:t>
          </w:r>
        </w:p>
      </w:tc>
    </w:tr>
  </w:tbl>
  <w:p w14:paraId="0482D998" w14:textId="77777777" w:rsidR="009250FE" w:rsidRDefault="009250FE">
    <w:pPr>
      <w:pBdr>
        <w:top w:val="nil"/>
        <w:left w:val="nil"/>
        <w:bottom w:val="nil"/>
        <w:right w:val="nil"/>
        <w:between w:val="nil"/>
      </w:pBdr>
      <w:spacing w:before="120" w:after="120" w:line="240" w:lineRule="auto"/>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CB84" w14:textId="77777777" w:rsidR="009250FE" w:rsidRDefault="009250FE">
    <w:pPr>
      <w:pBdr>
        <w:top w:val="nil"/>
        <w:left w:val="nil"/>
        <w:bottom w:val="nil"/>
        <w:right w:val="nil"/>
        <w:between w:val="nil"/>
      </w:pBdr>
      <w:spacing w:line="276" w:lineRule="auto"/>
      <w:rPr>
        <w:i/>
        <w:sz w:val="18"/>
        <w:szCs w:val="18"/>
      </w:rPr>
    </w:pPr>
  </w:p>
  <w:tbl>
    <w:tblPr>
      <w:tblStyle w:val="a1"/>
      <w:tblW w:w="10490" w:type="dxa"/>
      <w:tblInd w:w="-2268" w:type="dxa"/>
      <w:tblBorders>
        <w:top w:val="nil"/>
        <w:left w:val="nil"/>
        <w:bottom w:val="nil"/>
        <w:right w:val="nil"/>
        <w:insideH w:val="nil"/>
        <w:insideV w:val="nil"/>
      </w:tblBorders>
      <w:tblLayout w:type="fixed"/>
      <w:tblLook w:val="0400" w:firstRow="0" w:lastRow="0" w:firstColumn="0" w:lastColumn="0" w:noHBand="0" w:noVBand="1"/>
    </w:tblPr>
    <w:tblGrid>
      <w:gridCol w:w="2066"/>
      <w:gridCol w:w="6506"/>
      <w:gridCol w:w="1918"/>
    </w:tblGrid>
    <w:tr w:rsidR="009250FE" w14:paraId="475CBC78" w14:textId="77777777">
      <w:tc>
        <w:tcPr>
          <w:tcW w:w="2066" w:type="dxa"/>
        </w:tcPr>
        <w:p w14:paraId="6A7056C0" w14:textId="77777777" w:rsidR="009250FE" w:rsidRDefault="00D62FA2">
          <w:pPr>
            <w:pBdr>
              <w:top w:val="nil"/>
              <w:left w:val="nil"/>
              <w:bottom w:val="nil"/>
              <w:right w:val="nil"/>
              <w:between w:val="nil"/>
            </w:pBdr>
            <w:spacing w:before="300" w:line="259" w:lineRule="auto"/>
            <w:rPr>
              <w:color w:val="009FE3"/>
              <w:sz w:val="22"/>
              <w:szCs w:val="22"/>
            </w:rPr>
          </w:pPr>
          <w:r>
            <w:rPr>
              <w:noProof/>
            </w:rPr>
            <w:drawing>
              <wp:anchor distT="0" distB="0" distL="114300" distR="114300" simplePos="0" relativeHeight="251659264" behindDoc="0" locked="0" layoutInCell="1" hidden="0" allowOverlap="1" wp14:anchorId="0A76D840" wp14:editId="0C52C547">
                <wp:simplePos x="0" y="0"/>
                <wp:positionH relativeFrom="column">
                  <wp:posOffset>2542</wp:posOffset>
                </wp:positionH>
                <wp:positionV relativeFrom="paragraph">
                  <wp:posOffset>0</wp:posOffset>
                </wp:positionV>
                <wp:extent cx="1220400" cy="406800"/>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0400" cy="406800"/>
                        </a:xfrm>
                        <a:prstGeom prst="rect">
                          <a:avLst/>
                        </a:prstGeom>
                        <a:ln/>
                      </pic:spPr>
                    </pic:pic>
                  </a:graphicData>
                </a:graphic>
              </wp:anchor>
            </w:drawing>
          </w:r>
        </w:p>
      </w:tc>
      <w:tc>
        <w:tcPr>
          <w:tcW w:w="6506" w:type="dxa"/>
          <w:tcBorders>
            <w:top w:val="single" w:sz="6" w:space="0" w:color="009FE3"/>
            <w:bottom w:val="single" w:sz="6" w:space="0" w:color="009FE3"/>
          </w:tcBorders>
        </w:tcPr>
        <w:p w14:paraId="72BCEEBF" w14:textId="77777777" w:rsidR="009250FE" w:rsidRDefault="00D62FA2">
          <w:pPr>
            <w:widowControl/>
            <w:pBdr>
              <w:top w:val="nil"/>
              <w:left w:val="nil"/>
              <w:bottom w:val="nil"/>
              <w:right w:val="nil"/>
              <w:between w:val="nil"/>
            </w:pBdr>
            <w:spacing w:before="60" w:after="60" w:line="240" w:lineRule="auto"/>
            <w:ind w:left="-113"/>
            <w:rPr>
              <w:color w:val="009FE3"/>
              <w:sz w:val="48"/>
              <w:szCs w:val="48"/>
            </w:rPr>
          </w:pPr>
          <w:r>
            <w:rPr>
              <w:color w:val="009FE3"/>
              <w:sz w:val="48"/>
              <w:szCs w:val="48"/>
            </w:rPr>
            <w:t>Confidential</w:t>
          </w:r>
          <w:r>
            <w:rPr>
              <w:color w:val="009FE3"/>
              <w:sz w:val="48"/>
              <w:szCs w:val="48"/>
            </w:rPr>
            <w:br/>
            <w:t>Candidate Report</w:t>
          </w:r>
        </w:p>
      </w:tc>
      <w:tc>
        <w:tcPr>
          <w:tcW w:w="1918" w:type="dxa"/>
          <w:tcBorders>
            <w:top w:val="single" w:sz="6" w:space="0" w:color="009FE3"/>
            <w:bottom w:val="single" w:sz="6" w:space="0" w:color="009FE3"/>
          </w:tcBorders>
        </w:tcPr>
        <w:p w14:paraId="551FFDE9" w14:textId="77777777" w:rsidR="009250FE" w:rsidRDefault="00D62FA2">
          <w:r>
            <w:t>www.boyden.com</w:t>
          </w:r>
        </w:p>
      </w:tc>
    </w:tr>
  </w:tbl>
  <w:p w14:paraId="4BB725DA" w14:textId="77777777" w:rsidR="009250FE" w:rsidRDefault="009250FE">
    <w:pPr>
      <w:pBdr>
        <w:top w:val="nil"/>
        <w:left w:val="nil"/>
        <w:bottom w:val="nil"/>
        <w:right w:val="nil"/>
        <w:between w:val="nil"/>
      </w:pBdr>
      <w:spacing w:before="300" w:line="259" w:lineRule="auto"/>
      <w:rPr>
        <w:color w:val="009FE3"/>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241"/>
    <w:multiLevelType w:val="hybridMultilevel"/>
    <w:tmpl w:val="6142827C"/>
    <w:lvl w:ilvl="0" w:tplc="3C005D64">
      <w:start w:val="1"/>
      <w:numFmt w:val="bullet"/>
      <w:lvlText w:val=""/>
      <w:lvlJc w:val="left"/>
      <w:pPr>
        <w:ind w:left="720" w:hanging="360"/>
      </w:pPr>
      <w:rPr>
        <w:rFonts w:ascii="Symbol" w:hAnsi="Symbol"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ED763F"/>
    <w:multiLevelType w:val="multilevel"/>
    <w:tmpl w:val="4670C132"/>
    <w:lvl w:ilvl="0">
      <w:start w:val="1"/>
      <w:numFmt w:val="decimal"/>
      <w:pStyle w:val="Boyde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9122055">
    <w:abstractNumId w:val="1"/>
  </w:num>
  <w:num w:numId="2" w16cid:durableId="1037197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FE"/>
    <w:rsid w:val="000333A2"/>
    <w:rsid w:val="00034E27"/>
    <w:rsid w:val="0009594A"/>
    <w:rsid w:val="000D1FB5"/>
    <w:rsid w:val="001409D6"/>
    <w:rsid w:val="001677D3"/>
    <w:rsid w:val="001F0587"/>
    <w:rsid w:val="00213A0A"/>
    <w:rsid w:val="00235A81"/>
    <w:rsid w:val="002A4FA9"/>
    <w:rsid w:val="002B36B2"/>
    <w:rsid w:val="002E557C"/>
    <w:rsid w:val="00300113"/>
    <w:rsid w:val="00304DAF"/>
    <w:rsid w:val="00337402"/>
    <w:rsid w:val="0035653B"/>
    <w:rsid w:val="00372D96"/>
    <w:rsid w:val="003A3D4C"/>
    <w:rsid w:val="003D51A2"/>
    <w:rsid w:val="00432F5C"/>
    <w:rsid w:val="00460D3C"/>
    <w:rsid w:val="004D54B2"/>
    <w:rsid w:val="00500E3D"/>
    <w:rsid w:val="00500F65"/>
    <w:rsid w:val="005138A4"/>
    <w:rsid w:val="005303CF"/>
    <w:rsid w:val="00543134"/>
    <w:rsid w:val="005745F6"/>
    <w:rsid w:val="005B7B8D"/>
    <w:rsid w:val="005C6391"/>
    <w:rsid w:val="00675464"/>
    <w:rsid w:val="00693160"/>
    <w:rsid w:val="00721C6C"/>
    <w:rsid w:val="00770CA2"/>
    <w:rsid w:val="007C4819"/>
    <w:rsid w:val="007C709C"/>
    <w:rsid w:val="0081317A"/>
    <w:rsid w:val="008369E7"/>
    <w:rsid w:val="0085242C"/>
    <w:rsid w:val="00862B23"/>
    <w:rsid w:val="00883D90"/>
    <w:rsid w:val="008A27A7"/>
    <w:rsid w:val="008A3659"/>
    <w:rsid w:val="008D11AA"/>
    <w:rsid w:val="008E016D"/>
    <w:rsid w:val="008F048F"/>
    <w:rsid w:val="008F4320"/>
    <w:rsid w:val="009232F0"/>
    <w:rsid w:val="00923B53"/>
    <w:rsid w:val="009250FE"/>
    <w:rsid w:val="0098726C"/>
    <w:rsid w:val="009A0E7F"/>
    <w:rsid w:val="009E2D32"/>
    <w:rsid w:val="00A335E8"/>
    <w:rsid w:val="00A409FE"/>
    <w:rsid w:val="00A52211"/>
    <w:rsid w:val="00A619C3"/>
    <w:rsid w:val="00A93B3A"/>
    <w:rsid w:val="00AC395E"/>
    <w:rsid w:val="00B6605F"/>
    <w:rsid w:val="00BE0B58"/>
    <w:rsid w:val="00BF3831"/>
    <w:rsid w:val="00C12AD9"/>
    <w:rsid w:val="00C43F4E"/>
    <w:rsid w:val="00CD2186"/>
    <w:rsid w:val="00CD7FCF"/>
    <w:rsid w:val="00D11812"/>
    <w:rsid w:val="00D16EBE"/>
    <w:rsid w:val="00D27F43"/>
    <w:rsid w:val="00D62FA2"/>
    <w:rsid w:val="00D64440"/>
    <w:rsid w:val="00DA6A49"/>
    <w:rsid w:val="00DC29CA"/>
    <w:rsid w:val="00DC3F31"/>
    <w:rsid w:val="00DC7D5E"/>
    <w:rsid w:val="00DD1E54"/>
    <w:rsid w:val="00DD6108"/>
    <w:rsid w:val="00E31CF4"/>
    <w:rsid w:val="00EC7BD7"/>
    <w:rsid w:val="00EE5FD7"/>
    <w:rsid w:val="00EF1E64"/>
    <w:rsid w:val="00F234F4"/>
    <w:rsid w:val="00F40FF9"/>
    <w:rsid w:val="00F41A86"/>
    <w:rsid w:val="00F4537B"/>
    <w:rsid w:val="00F60BF7"/>
    <w:rsid w:val="00F846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2D332"/>
  <w15:docId w15:val="{3CD842F2-41BD-481C-83C7-FA28C3BB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9"/>
        <w:szCs w:val="19"/>
        <w:lang w:val="en-GB" w:eastAsia="en-CA" w:bidi="ar-SA"/>
      </w:rPr>
    </w:rPrDefault>
    <w:pPrDefault>
      <w:pPr>
        <w:widowControl w:val="0"/>
        <w:spacing w:line="2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819"/>
    <w:pPr>
      <w:suppressAutoHyphens/>
      <w:spacing w:line="260" w:lineRule="exact"/>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ydenBodyText">
    <w:name w:val="Boyden_Body Text"/>
    <w:uiPriority w:val="1"/>
    <w:qFormat/>
    <w:rsid w:val="00096B99"/>
    <w:pPr>
      <w:suppressAutoHyphens/>
      <w:spacing w:before="120" w:after="120" w:line="240" w:lineRule="auto"/>
    </w:pPr>
    <w:rPr>
      <w:sz w:val="18"/>
    </w:rPr>
  </w:style>
  <w:style w:type="paragraph" w:customStyle="1" w:styleId="BoydenLegalStatement">
    <w:name w:val="Boyden_Legal Statement"/>
    <w:next w:val="BoydenBodyText"/>
    <w:uiPriority w:val="5"/>
    <w:qFormat/>
    <w:rsid w:val="00096B99"/>
    <w:pPr>
      <w:pBdr>
        <w:top w:val="single" w:sz="12" w:space="3" w:color="009FE3"/>
      </w:pBdr>
      <w:suppressAutoHyphens/>
      <w:spacing w:line="240" w:lineRule="auto"/>
    </w:pPr>
    <w:rPr>
      <w:sz w:val="18"/>
    </w:rPr>
  </w:style>
  <w:style w:type="paragraph" w:customStyle="1" w:styleId="BoydenHeader2">
    <w:name w:val="Boyden_Header 2"/>
    <w:next w:val="BoydenBodyText"/>
    <w:uiPriority w:val="7"/>
    <w:qFormat/>
    <w:rsid w:val="00391E6D"/>
    <w:pPr>
      <w:suppressAutoHyphens/>
      <w:spacing w:before="300" w:line="220" w:lineRule="atLeast"/>
    </w:pPr>
    <w:rPr>
      <w:color w:val="009FE3"/>
    </w:rPr>
  </w:style>
  <w:style w:type="paragraph" w:customStyle="1" w:styleId="BoydenFooter">
    <w:name w:val="Boyden_Footer"/>
    <w:uiPriority w:val="6"/>
    <w:qFormat/>
    <w:rsid w:val="00395DD4"/>
    <w:pPr>
      <w:spacing w:line="240" w:lineRule="auto"/>
      <w:ind w:left="-2098"/>
    </w:pPr>
    <w:rPr>
      <w:color w:val="009FE3"/>
      <w:sz w:val="24"/>
    </w:rPr>
  </w:style>
  <w:style w:type="paragraph" w:styleId="Header">
    <w:name w:val="header"/>
    <w:basedOn w:val="Normal"/>
    <w:link w:val="HeaderChar"/>
    <w:uiPriority w:val="99"/>
    <w:semiHidden/>
    <w:rsid w:val="00C25D6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60BA"/>
    <w:rPr>
      <w:rFonts w:ascii="Verdana" w:hAnsi="Verdana"/>
      <w:sz w:val="19"/>
    </w:rPr>
  </w:style>
  <w:style w:type="paragraph" w:styleId="Footer">
    <w:name w:val="footer"/>
    <w:basedOn w:val="Normal"/>
    <w:link w:val="FooterChar"/>
    <w:uiPriority w:val="99"/>
    <w:semiHidden/>
    <w:rsid w:val="00C25D6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A60BA"/>
    <w:rPr>
      <w:rFonts w:ascii="Verdana" w:hAnsi="Verdana"/>
      <w:sz w:val="19"/>
    </w:rPr>
  </w:style>
  <w:style w:type="table" w:styleId="TableGrid">
    <w:name w:val="Table Grid"/>
    <w:basedOn w:val="TableNormal"/>
    <w:uiPriority w:val="39"/>
    <w:rsid w:val="00C25D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D66"/>
    <w:rPr>
      <w:color w:val="77777A"/>
      <w:u w:val="single"/>
    </w:rPr>
  </w:style>
  <w:style w:type="character" w:styleId="PlaceholderText">
    <w:name w:val="Placeholder Text"/>
    <w:basedOn w:val="DefaultParagraphFont"/>
    <w:uiPriority w:val="99"/>
    <w:semiHidden/>
    <w:rsid w:val="00C25D66"/>
    <w:rPr>
      <w:color w:val="808080"/>
    </w:rPr>
  </w:style>
  <w:style w:type="paragraph" w:customStyle="1" w:styleId="BoydenHeader1">
    <w:name w:val="Boyden_Header 1"/>
    <w:uiPriority w:val="7"/>
    <w:qFormat/>
    <w:rsid w:val="00F709E6"/>
    <w:pPr>
      <w:suppressAutoHyphens/>
      <w:spacing w:before="60" w:after="60" w:line="240" w:lineRule="auto"/>
      <w:ind w:left="-113"/>
    </w:pPr>
    <w:rPr>
      <w:color w:val="009FE3"/>
      <w:spacing w:val="-10"/>
      <w:sz w:val="48"/>
    </w:rPr>
  </w:style>
  <w:style w:type="paragraph" w:customStyle="1" w:styleId="BoydenHeading1">
    <w:name w:val="Boyden_Heading 1"/>
    <w:next w:val="BoydenBodyText"/>
    <w:qFormat/>
    <w:rsid w:val="003469F1"/>
    <w:pPr>
      <w:suppressAutoHyphens/>
      <w:spacing w:before="240" w:after="240" w:line="240" w:lineRule="auto"/>
    </w:pPr>
    <w:rPr>
      <w:b/>
    </w:rPr>
  </w:style>
  <w:style w:type="paragraph" w:customStyle="1" w:styleId="BoydenBullet1">
    <w:name w:val="Boyden_Bullet 1"/>
    <w:uiPriority w:val="2"/>
    <w:qFormat/>
    <w:rsid w:val="00096B99"/>
    <w:pPr>
      <w:numPr>
        <w:numId w:val="1"/>
      </w:numPr>
      <w:suppressAutoHyphens/>
      <w:spacing w:before="60" w:after="60" w:line="240" w:lineRule="auto"/>
      <w:ind w:left="357" w:hanging="357"/>
    </w:pPr>
    <w:rPr>
      <w:sz w:val="18"/>
    </w:rPr>
  </w:style>
  <w:style w:type="paragraph" w:customStyle="1" w:styleId="BoydenAddress">
    <w:name w:val="Boyden_Address"/>
    <w:uiPriority w:val="4"/>
    <w:qFormat/>
    <w:rsid w:val="00096B99"/>
    <w:pPr>
      <w:spacing w:line="260" w:lineRule="exact"/>
    </w:pPr>
    <w:rPr>
      <w:sz w:val="18"/>
    </w:rPr>
  </w:style>
  <w:style w:type="paragraph" w:customStyle="1" w:styleId="BoydenAddressBold">
    <w:name w:val="Boyden_Address Bold"/>
    <w:next w:val="BoydenAddress"/>
    <w:uiPriority w:val="3"/>
    <w:qFormat/>
    <w:rsid w:val="00096B99"/>
    <w:pPr>
      <w:suppressAutoHyphens/>
      <w:spacing w:line="260" w:lineRule="exact"/>
    </w:pPr>
    <w:rPr>
      <w:b/>
      <w:sz w:val="18"/>
    </w:rPr>
  </w:style>
  <w:style w:type="numbering" w:customStyle="1" w:styleId="Style1">
    <w:name w:val="Style1"/>
    <w:uiPriority w:val="99"/>
    <w:rsid w:val="00213E73"/>
  </w:style>
  <w:style w:type="paragraph" w:customStyle="1" w:styleId="BoydenHeading2">
    <w:name w:val="Boyden_Heading 2"/>
    <w:next w:val="BoydenBodyText"/>
    <w:qFormat/>
    <w:rsid w:val="00096B99"/>
    <w:pPr>
      <w:spacing w:before="240" w:line="240" w:lineRule="auto"/>
    </w:pPr>
    <w:rPr>
      <w:b/>
      <w:sz w:val="18"/>
    </w:rPr>
  </w:style>
  <w:style w:type="paragraph" w:customStyle="1" w:styleId="BoydenBodyTextIndent">
    <w:name w:val="Boyden_Body Text Indent"/>
    <w:uiPriority w:val="1"/>
    <w:qFormat/>
    <w:rsid w:val="00096B99"/>
    <w:pPr>
      <w:suppressAutoHyphens/>
      <w:spacing w:before="40" w:after="40" w:line="240" w:lineRule="auto"/>
      <w:ind w:left="284"/>
    </w:pPr>
    <w:rPr>
      <w:sz w:val="18"/>
    </w:rPr>
  </w:style>
  <w:style w:type="paragraph" w:customStyle="1" w:styleId="BoydenBodyTextItalic">
    <w:name w:val="Boyden_Body Text Italic"/>
    <w:uiPriority w:val="1"/>
    <w:qFormat/>
    <w:rsid w:val="00096B99"/>
    <w:pPr>
      <w:spacing w:before="60" w:after="60" w:line="240" w:lineRule="auto"/>
    </w:pPr>
    <w:rPr>
      <w:i/>
      <w:sz w:val="18"/>
    </w:rPr>
  </w:style>
  <w:style w:type="paragraph" w:styleId="BalloonText">
    <w:name w:val="Balloon Text"/>
    <w:basedOn w:val="Normal"/>
    <w:link w:val="BalloonTextChar"/>
    <w:uiPriority w:val="99"/>
    <w:semiHidden/>
    <w:unhideWhenUsed/>
    <w:rsid w:val="00391E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6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character" w:styleId="UnresolvedMention">
    <w:name w:val="Unresolved Mention"/>
    <w:basedOn w:val="DefaultParagraphFont"/>
    <w:uiPriority w:val="99"/>
    <w:semiHidden/>
    <w:unhideWhenUsed/>
    <w:rsid w:val="001F0587"/>
    <w:rPr>
      <w:color w:val="605E5C"/>
      <w:shd w:val="clear" w:color="auto" w:fill="E1DFDD"/>
    </w:rPr>
  </w:style>
  <w:style w:type="paragraph" w:styleId="BodyText">
    <w:name w:val="Body Text"/>
    <w:link w:val="BodyTextChar"/>
    <w:qFormat/>
    <w:rsid w:val="002A4FA9"/>
    <w:pPr>
      <w:suppressAutoHyphens/>
      <w:autoSpaceDE w:val="0"/>
      <w:autoSpaceDN w:val="0"/>
      <w:spacing w:before="120" w:after="120" w:line="276" w:lineRule="auto"/>
      <w:jc w:val="both"/>
    </w:pPr>
    <w:rPr>
      <w:rFonts w:asciiTheme="minorHAnsi" w:eastAsia="Calibri-Light" w:hAnsiTheme="minorHAnsi" w:cs="Calibri-Light"/>
      <w:color w:val="000000"/>
      <w:spacing w:val="-6"/>
      <w:kern w:val="22"/>
      <w:sz w:val="22"/>
      <w:szCs w:val="22"/>
      <w:lang w:val="fr-CA" w:eastAsia="en-US" w:bidi="en-US"/>
    </w:rPr>
  </w:style>
  <w:style w:type="character" w:customStyle="1" w:styleId="BodyTextChar">
    <w:name w:val="Body Text Char"/>
    <w:basedOn w:val="DefaultParagraphFont"/>
    <w:link w:val="BodyText"/>
    <w:rsid w:val="002A4FA9"/>
    <w:rPr>
      <w:rFonts w:asciiTheme="minorHAnsi" w:eastAsia="Calibri-Light" w:hAnsiTheme="minorHAnsi" w:cs="Calibri-Light"/>
      <w:color w:val="000000"/>
      <w:spacing w:val="-6"/>
      <w:kern w:val="22"/>
      <w:sz w:val="22"/>
      <w:szCs w:val="22"/>
      <w:lang w:val="fr-CA" w:eastAsia="en-US" w:bidi="en-US"/>
    </w:rPr>
  </w:style>
  <w:style w:type="paragraph" w:styleId="ListParagraph">
    <w:name w:val="List Paragraph"/>
    <w:basedOn w:val="Normal"/>
    <w:uiPriority w:val="34"/>
    <w:qFormat/>
    <w:rsid w:val="0051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KgbG0oCW5S405lFVYDuHA30Sfw==">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Bush</dc:creator>
  <cp:lastModifiedBy>Marie-Hélène Gaudreault</cp:lastModifiedBy>
  <cp:revision>53</cp:revision>
  <dcterms:created xsi:type="dcterms:W3CDTF">2021-01-14T21:10:00Z</dcterms:created>
  <dcterms:modified xsi:type="dcterms:W3CDTF">2023-05-05T11:54:00Z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0x0101007005EE8A0064F742B74F733C944D1971</vt:lpwstr>
  </property>
</Properties>
</file>